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rFonts w:hint="eastAsia"/>
          <w:sz w:val="84"/>
          <w:szCs w:val="84"/>
        </w:rPr>
      </w:pPr>
      <w:r>
        <w:rPr>
          <w:rFonts w:hint="eastAsia"/>
          <w:sz w:val="84"/>
          <w:szCs w:val="84"/>
        </w:rPr>
        <w:t>2021年度</w:t>
      </w:r>
    </w:p>
    <w:p>
      <w:pPr>
        <w:pStyle w:val="11"/>
        <w:jc w:val="center"/>
        <w:rPr>
          <w:rFonts w:hint="eastAsia"/>
          <w:sz w:val="84"/>
          <w:szCs w:val="84"/>
          <w:lang w:eastAsia="zh-CN"/>
        </w:rPr>
      </w:pPr>
      <w:r>
        <w:rPr>
          <w:rFonts w:hint="eastAsia"/>
          <w:sz w:val="84"/>
          <w:szCs w:val="84"/>
          <w:lang w:eastAsia="zh-CN"/>
        </w:rPr>
        <w:t>长沙市开福区人民检察院</w:t>
      </w:r>
    </w:p>
    <w:p>
      <w:pPr>
        <w:pStyle w:val="11"/>
        <w:jc w:val="center"/>
        <w:rPr>
          <w:rFonts w:hint="eastAsia"/>
          <w:sz w:val="84"/>
          <w:szCs w:val="84"/>
        </w:rPr>
      </w:pP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00" w:lineRule="exact"/>
        <w:jc w:val="both"/>
        <w:rPr>
          <w:b/>
          <w:sz w:val="36"/>
          <w:szCs w:val="28"/>
        </w:rPr>
      </w:pPr>
    </w:p>
    <w:p>
      <w:pPr>
        <w:pStyle w:val="11"/>
        <w:spacing w:line="500" w:lineRule="exact"/>
        <w:jc w:val="both"/>
        <w:rPr>
          <w:b/>
          <w:sz w:val="36"/>
          <w:szCs w:val="28"/>
        </w:rPr>
      </w:pPr>
    </w:p>
    <w:p>
      <w:pPr>
        <w:pStyle w:val="11"/>
        <w:spacing w:line="500" w:lineRule="exact"/>
        <w:jc w:val="center"/>
        <w:rPr>
          <w:b/>
          <w:sz w:val="36"/>
          <w:szCs w:val="28"/>
        </w:rPr>
      </w:pPr>
      <w:r>
        <w:rPr>
          <w:rFonts w:hint="eastAsia"/>
          <w:b/>
          <w:sz w:val="36"/>
          <w:szCs w:val="28"/>
        </w:rPr>
        <w:t>目录</w:t>
      </w:r>
    </w:p>
    <w:p>
      <w:pPr>
        <w:pStyle w:val="11"/>
        <w:keepNext w:val="0"/>
        <w:keepLines w:val="0"/>
        <w:pageBreakBefore w:val="0"/>
        <w:widowControl w:val="0"/>
        <w:kinsoku/>
        <w:wordWrap/>
        <w:overflowPunct/>
        <w:topLinePunct w:val="0"/>
        <w:bidi w:val="0"/>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eastAsia="zh-CN"/>
        </w:rPr>
        <w:t>长沙市</w:t>
      </w:r>
      <w:r>
        <w:rPr>
          <w:rFonts w:hint="eastAsia"/>
          <w:b/>
          <w:sz w:val="28"/>
          <w:szCs w:val="28"/>
          <w:lang w:val="en-US" w:eastAsia="zh-CN"/>
        </w:rPr>
        <w:t>开福区</w:t>
      </w:r>
      <w:r>
        <w:rPr>
          <w:rFonts w:hint="eastAsia"/>
          <w:b/>
          <w:sz w:val="28"/>
          <w:szCs w:val="28"/>
          <w:lang w:eastAsia="zh-CN"/>
        </w:rPr>
        <w:t>人民检察院</w:t>
      </w:r>
      <w:r>
        <w:rPr>
          <w:rFonts w:hint="eastAsia"/>
          <w:b/>
          <w:sz w:val="28"/>
          <w:szCs w:val="28"/>
        </w:rPr>
        <w:t>概况</w:t>
      </w:r>
    </w:p>
    <w:p>
      <w:pPr>
        <w:pStyle w:val="11"/>
        <w:keepNext w:val="0"/>
        <w:keepLines w:val="0"/>
        <w:pageBreakBefore w:val="0"/>
        <w:widowControl w:val="0"/>
        <w:kinsoku/>
        <w:wordWrap/>
        <w:overflowPunct/>
        <w:topLinePunct w:val="0"/>
        <w:bidi w:val="0"/>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keepNext w:val="0"/>
        <w:keepLines w:val="0"/>
        <w:pageBreakBefore w:val="0"/>
        <w:widowControl w:val="0"/>
        <w:kinsoku/>
        <w:wordWrap/>
        <w:overflowPunct/>
        <w:topLinePunct w:val="0"/>
        <w:bidi w:val="0"/>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keepNext w:val="0"/>
        <w:keepLines w:val="0"/>
        <w:pageBreakBefore w:val="0"/>
        <w:widowControl w:val="0"/>
        <w:kinsoku/>
        <w:wordWrap/>
        <w:overflowPunct/>
        <w:topLinePunct w:val="0"/>
        <w:bidi w:val="0"/>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keepNext w:val="0"/>
        <w:keepLines w:val="0"/>
        <w:pageBreakBefore w:val="0"/>
        <w:widowControl w:val="0"/>
        <w:kinsoku/>
        <w:wordWrap/>
        <w:overflowPunct/>
        <w:topLinePunct w:val="0"/>
        <w:bidi w:val="0"/>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keepNext w:val="0"/>
        <w:keepLines w:val="0"/>
        <w:pageBreakBefore w:val="0"/>
        <w:widowControl w:val="0"/>
        <w:kinsoku/>
        <w:wordWrap/>
        <w:overflowPunct/>
        <w:topLinePunct w:val="0"/>
        <w:bidi w:val="0"/>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keepNext w:val="0"/>
        <w:keepLines w:val="0"/>
        <w:pageBreakBefore w:val="0"/>
        <w:widowControl w:val="0"/>
        <w:kinsoku/>
        <w:wordWrap/>
        <w:overflowPunct/>
        <w:topLinePunct w:val="0"/>
        <w:bidi w:val="0"/>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keepNext w:val="0"/>
        <w:keepLines w:val="0"/>
        <w:pageBreakBefore w:val="0"/>
        <w:widowControl w:val="0"/>
        <w:kinsoku/>
        <w:wordWrap/>
        <w:overflowPunct/>
        <w:topLinePunct w:val="0"/>
        <w:bidi w:val="0"/>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keepNext w:val="0"/>
        <w:keepLines w:val="0"/>
        <w:pageBreakBefore w:val="0"/>
        <w:widowControl w:val="0"/>
        <w:kinsoku/>
        <w:wordWrap/>
        <w:overflowPunct/>
        <w:topLinePunct w:val="0"/>
        <w:bidi w:val="0"/>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keepNext w:val="0"/>
        <w:keepLines w:val="0"/>
        <w:pageBreakBefore w:val="0"/>
        <w:widowControl w:val="0"/>
        <w:kinsoku/>
        <w:wordWrap/>
        <w:overflowPunct/>
        <w:topLinePunct w:val="0"/>
        <w:bidi w:val="0"/>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keepNext w:val="0"/>
        <w:keepLines w:val="0"/>
        <w:pageBreakBefore w:val="0"/>
        <w:widowControl w:val="0"/>
        <w:kinsoku/>
        <w:wordWrap/>
        <w:overflowPunct/>
        <w:topLinePunct w:val="0"/>
        <w:bidi w:val="0"/>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keepNext w:val="0"/>
        <w:keepLines w:val="0"/>
        <w:pageBreakBefore w:val="0"/>
        <w:widowControl w:val="0"/>
        <w:kinsoku/>
        <w:wordWrap/>
        <w:overflowPunct/>
        <w:topLinePunct w:val="0"/>
        <w:bidi w:val="0"/>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keepNext w:val="0"/>
        <w:keepLines w:val="0"/>
        <w:pageBreakBefore w:val="0"/>
        <w:widowControl w:val="0"/>
        <w:kinsoku/>
        <w:wordWrap/>
        <w:overflowPunct/>
        <w:topLinePunct w:val="0"/>
        <w:bidi w:val="0"/>
        <w:spacing w:line="480" w:lineRule="exact"/>
        <w:ind w:firstLine="700" w:firstLineChars="250"/>
        <w:textAlignment w:val="auto"/>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keepNext w:val="0"/>
        <w:keepLines w:val="0"/>
        <w:pageBreakBefore w:val="0"/>
        <w:widowControl w:val="0"/>
        <w:kinsoku/>
        <w:wordWrap/>
        <w:overflowPunct/>
        <w:topLinePunct w:val="0"/>
        <w:bidi w:val="0"/>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keepNext w:val="0"/>
        <w:keepLines w:val="0"/>
        <w:pageBreakBefore w:val="0"/>
        <w:widowControl w:val="0"/>
        <w:kinsoku/>
        <w:wordWrap/>
        <w:overflowPunct/>
        <w:topLinePunct w:val="0"/>
        <w:bidi w:val="0"/>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keepNext w:val="0"/>
        <w:keepLines w:val="0"/>
        <w:pageBreakBefore w:val="0"/>
        <w:widowControl w:val="0"/>
        <w:kinsoku/>
        <w:wordWrap/>
        <w:overflowPunct/>
        <w:topLinePunct w:val="0"/>
        <w:autoSpaceDE w:val="0"/>
        <w:autoSpaceDN w:val="0"/>
        <w:bidi w:val="0"/>
        <w:adjustRightInd w:val="0"/>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keepNext w:val="0"/>
        <w:keepLines w:val="0"/>
        <w:pageBreakBefore w:val="0"/>
        <w:widowControl w:val="0"/>
        <w:kinsoku/>
        <w:wordWrap/>
        <w:overflowPunct/>
        <w:topLinePunct w:val="0"/>
        <w:autoSpaceDE w:val="0"/>
        <w:autoSpaceDN w:val="0"/>
        <w:bidi w:val="0"/>
        <w:adjustRightInd w:val="0"/>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keepNext w:val="0"/>
        <w:keepLines w:val="0"/>
        <w:pageBreakBefore w:val="0"/>
        <w:widowControl w:val="0"/>
        <w:kinsoku/>
        <w:wordWrap/>
        <w:overflowPunct/>
        <w:topLinePunct w:val="0"/>
        <w:autoSpaceDE w:val="0"/>
        <w:autoSpaceDN w:val="0"/>
        <w:bidi w:val="0"/>
        <w:adjustRightInd w:val="0"/>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keepNext w:val="0"/>
        <w:keepLines w:val="0"/>
        <w:pageBreakBefore w:val="0"/>
        <w:widowControl w:val="0"/>
        <w:kinsoku/>
        <w:wordWrap/>
        <w:overflowPunct/>
        <w:topLinePunct w:val="0"/>
        <w:bidi w:val="0"/>
        <w:spacing w:line="480" w:lineRule="exact"/>
        <w:ind w:firstLine="700" w:firstLineChars="250"/>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keepNext w:val="0"/>
        <w:keepLines w:val="0"/>
        <w:pageBreakBefore w:val="0"/>
        <w:widowControl w:val="0"/>
        <w:kinsoku/>
        <w:wordWrap/>
        <w:overflowPunct/>
        <w:topLinePunct w:val="0"/>
        <w:bidi w:val="0"/>
        <w:spacing w:line="480" w:lineRule="exact"/>
        <w:ind w:firstLine="700" w:firstLineChars="250"/>
        <w:textAlignment w:val="auto"/>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keepNext w:val="0"/>
        <w:keepLines w:val="0"/>
        <w:pageBreakBefore w:val="0"/>
        <w:widowControl w:val="0"/>
        <w:kinsoku/>
        <w:wordWrap/>
        <w:overflowPunct/>
        <w:topLinePunct w:val="0"/>
        <w:autoSpaceDE w:val="0"/>
        <w:autoSpaceDN w:val="0"/>
        <w:bidi w:val="0"/>
        <w:adjustRightInd w:val="0"/>
        <w:spacing w:line="480" w:lineRule="exact"/>
        <w:jc w:val="left"/>
        <w:textAlignment w:val="auto"/>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keepNext w:val="0"/>
        <w:keepLines w:val="0"/>
        <w:pageBreakBefore w:val="0"/>
        <w:widowControl w:val="0"/>
        <w:kinsoku/>
        <w:wordWrap/>
        <w:overflowPunct/>
        <w:topLinePunct w:val="0"/>
        <w:autoSpaceDE w:val="0"/>
        <w:autoSpaceDN w:val="0"/>
        <w:bidi w:val="0"/>
        <w:adjustRightInd w:val="0"/>
        <w:spacing w:line="480" w:lineRule="exact"/>
        <w:jc w:val="left"/>
        <w:textAlignment w:val="auto"/>
        <w:rPr>
          <w:rFonts w:hint="eastAsia" w:ascii="黑体" w:hAnsi="黑体" w:eastAsia="黑体" w:cs="黑体"/>
          <w:b/>
          <w:color w:val="000000"/>
          <w:kern w:val="0"/>
          <w:sz w:val="28"/>
          <w:szCs w:val="28"/>
        </w:rPr>
      </w:pPr>
      <w:r>
        <w:rPr>
          <w:rFonts w:hint="eastAsia" w:ascii="黑体" w:hAnsi="黑体" w:eastAsia="黑体" w:cs="黑体"/>
          <w:b/>
          <w:color w:val="000000"/>
          <w:kern w:val="0"/>
          <w:sz w:val="28"/>
          <w:szCs w:val="28"/>
        </w:rPr>
        <w:t>第五部分附件</w:t>
      </w:r>
    </w:p>
    <w:p>
      <w:pPr>
        <w:pStyle w:val="11"/>
        <w:keepNext w:val="0"/>
        <w:keepLines w:val="0"/>
        <w:pageBreakBefore w:val="0"/>
        <w:widowControl w:val="0"/>
        <w:kinsoku/>
        <w:wordWrap/>
        <w:overflowPunct/>
        <w:topLinePunct w:val="0"/>
        <w:bidi w:val="0"/>
        <w:snapToGrid w:val="0"/>
        <w:spacing w:line="480" w:lineRule="exact"/>
        <w:ind w:firstLine="560" w:firstLineChars="200"/>
        <w:textAlignment w:val="auto"/>
        <w:rPr>
          <w:rFonts w:hint="eastAsia" w:ascii="仿宋_GB2312" w:hAnsi="仿宋_GB2312" w:cs="仿宋_GB2312" w:eastAsiaTheme="minorEastAsia"/>
          <w:color w:val="000000"/>
          <w:kern w:val="0"/>
          <w:sz w:val="28"/>
          <w:szCs w:val="28"/>
          <w:lang w:val="en-US" w:eastAsia="zh-CN" w:bidi="ar-SA"/>
        </w:rPr>
      </w:pPr>
      <w:r>
        <w:rPr>
          <w:rFonts w:hint="eastAsia" w:ascii="仿宋_GB2312" w:hAnsi="仿宋_GB2312" w:cs="仿宋_GB2312" w:eastAsiaTheme="minorEastAsia"/>
          <w:color w:val="000000"/>
          <w:kern w:val="0"/>
          <w:sz w:val="28"/>
          <w:szCs w:val="28"/>
          <w:lang w:val="en-US" w:eastAsia="zh-CN" w:bidi="ar-SA"/>
        </w:rPr>
        <w:t>2021年度部门整体支出绩效评价报告</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rFonts w:hint="eastAsia"/>
          <w:sz w:val="84"/>
          <w:szCs w:val="84"/>
          <w:lang w:eastAsia="zh-CN"/>
        </w:rPr>
      </w:pPr>
      <w:r>
        <w:rPr>
          <w:rFonts w:hint="eastAsia"/>
          <w:sz w:val="84"/>
          <w:szCs w:val="84"/>
          <w:lang w:eastAsia="zh-CN"/>
        </w:rPr>
        <w:t>长沙市开福区人民检察院</w:t>
      </w:r>
    </w:p>
    <w:p>
      <w:pPr>
        <w:pStyle w:val="11"/>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0" w:leftChars="0" w:firstLine="0" w:firstLineChars="0"/>
        <w:jc w:val="left"/>
        <w:rPr>
          <w:rFonts w:ascii="黑体" w:hAnsi="黑体" w:eastAsia="黑体"/>
          <w:sz w:val="32"/>
          <w:szCs w:val="32"/>
        </w:rPr>
      </w:pPr>
    </w:p>
    <w:p>
      <w:pPr>
        <w:widowControl/>
        <w:spacing w:line="600" w:lineRule="exact"/>
        <w:rPr>
          <w:rFonts w:hint="eastAsia" w:ascii="黑体" w:hAnsi="黑体" w:eastAsia="黑体"/>
          <w:bCs/>
          <w:kern w:val="0"/>
          <w:sz w:val="32"/>
          <w:szCs w:val="32"/>
        </w:rPr>
      </w:pPr>
      <w:r>
        <w:rPr>
          <w:rFonts w:hint="eastAsia" w:ascii="黑体" w:hAnsi="黑体" w:eastAsia="黑体"/>
          <w:bCs/>
          <w:kern w:val="0"/>
          <w:sz w:val="32"/>
          <w:szCs w:val="32"/>
          <w:lang w:val="en-US" w:eastAsia="zh-CN"/>
        </w:rPr>
        <w:t>一、</w:t>
      </w:r>
      <w:r>
        <w:rPr>
          <w:rFonts w:hint="eastAsia" w:ascii="黑体" w:hAnsi="黑体" w:eastAsia="黑体"/>
          <w:bCs/>
          <w:kern w:val="0"/>
          <w:sz w:val="32"/>
          <w:szCs w:val="32"/>
        </w:rPr>
        <w:t>部门职责</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lang w:eastAsia="zh-CN"/>
        </w:rPr>
      </w:pPr>
      <w:r>
        <w:rPr>
          <w:rFonts w:hint="eastAsia" w:asciiTheme="minorEastAsia" w:hAnsiTheme="minorEastAsia"/>
          <w:sz w:val="32"/>
          <w:szCs w:val="32"/>
          <w:lang w:eastAsia="zh-CN"/>
        </w:rPr>
        <w:t>长沙市</w:t>
      </w:r>
      <w:r>
        <w:rPr>
          <w:rFonts w:hint="eastAsia" w:asciiTheme="minorEastAsia" w:hAnsiTheme="minorEastAsia"/>
          <w:sz w:val="32"/>
          <w:szCs w:val="32"/>
          <w:lang w:val="en-US" w:eastAsia="zh-CN"/>
        </w:rPr>
        <w:t>开福</w:t>
      </w:r>
      <w:r>
        <w:rPr>
          <w:rFonts w:hint="eastAsia" w:asciiTheme="minorEastAsia" w:hAnsiTheme="minorEastAsia"/>
          <w:sz w:val="32"/>
          <w:szCs w:val="32"/>
          <w:lang w:eastAsia="zh-CN"/>
        </w:rPr>
        <w:t>区人民检察院是国家的法律监督机关，接受上级人民检察院的领导，对区人民代表大会及其常务委员会负责并报告工作。其主要职责是：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lang w:eastAsia="zh-CN"/>
        </w:rPr>
      </w:pPr>
      <w:r>
        <w:rPr>
          <w:rFonts w:hint="eastAsia" w:asciiTheme="minorEastAsia" w:hAnsiTheme="minorEastAsia"/>
          <w:sz w:val="32"/>
          <w:szCs w:val="32"/>
          <w:lang w:eastAsia="zh-CN"/>
        </w:rPr>
        <w:t>（</w:t>
      </w:r>
      <w:r>
        <w:rPr>
          <w:rFonts w:hint="eastAsia" w:asciiTheme="minorEastAsia" w:hAnsiTheme="minorEastAsia"/>
          <w:sz w:val="32"/>
          <w:szCs w:val="32"/>
          <w:lang w:val="en-US" w:eastAsia="zh-CN"/>
        </w:rPr>
        <w:t>一</w:t>
      </w:r>
      <w:r>
        <w:rPr>
          <w:rFonts w:hint="eastAsia" w:asciiTheme="minorEastAsia" w:hAnsiTheme="minorEastAsia"/>
          <w:sz w:val="32"/>
          <w:szCs w:val="32"/>
          <w:lang w:eastAsia="zh-CN"/>
        </w:rPr>
        <w:t>）深入贯彻习近平新时代中国特色社会主义思想，深入贯彻党的路线方针政策和决策部署，坚持党对检察工作的绝对领导，坚决维护习近平总书记的核心地位，坚决维护党中央权威和集中统一领导。</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lang w:eastAsia="zh-CN"/>
        </w:rPr>
      </w:pPr>
      <w:r>
        <w:rPr>
          <w:rFonts w:hint="eastAsia" w:asciiTheme="minorEastAsia" w:hAnsiTheme="minorEastAsia"/>
          <w:sz w:val="32"/>
          <w:szCs w:val="32"/>
          <w:lang w:eastAsia="zh-CN"/>
        </w:rPr>
        <w:t>（二）贯彻落实上级人民检察院的各项工作部署，研究制定检察工作规划，部署检察工作任务。</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lang w:eastAsia="zh-CN"/>
        </w:rPr>
      </w:pPr>
      <w:r>
        <w:rPr>
          <w:rFonts w:hint="eastAsia" w:asciiTheme="minorEastAsia" w:hAnsiTheme="minorEastAsia"/>
          <w:sz w:val="32"/>
          <w:szCs w:val="32"/>
          <w:lang w:eastAsia="zh-CN"/>
        </w:rPr>
        <w:t>（三）依照法律规定对由区人民检察院直接受理的刑事案件行使侦查权。</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lang w:eastAsia="zh-CN"/>
        </w:rPr>
      </w:pPr>
      <w:r>
        <w:rPr>
          <w:rFonts w:hint="eastAsia" w:asciiTheme="minorEastAsia" w:hAnsiTheme="minorEastAsia"/>
          <w:sz w:val="32"/>
          <w:szCs w:val="32"/>
          <w:lang w:eastAsia="zh-CN"/>
        </w:rPr>
        <w:t>（四）对刑事案件依法审查批准逮捕、决定逮捕、提起公诉。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lang w:eastAsia="zh-CN"/>
        </w:rPr>
      </w:pPr>
      <w:r>
        <w:rPr>
          <w:rFonts w:hint="eastAsia" w:asciiTheme="minorEastAsia" w:hAnsiTheme="minorEastAsia"/>
          <w:sz w:val="32"/>
          <w:szCs w:val="32"/>
          <w:lang w:eastAsia="zh-CN"/>
        </w:rPr>
        <w:t>（五）负责应由区人民检察院承办的刑事、民事、行政诉讼活动及刑事、民事、行政判决和裁定等生效法律文书执行的法律监督工作。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lang w:eastAsia="zh-CN"/>
        </w:rPr>
      </w:pPr>
      <w:r>
        <w:rPr>
          <w:rFonts w:hint="eastAsia" w:asciiTheme="minorEastAsia" w:hAnsiTheme="minorEastAsia"/>
          <w:sz w:val="32"/>
          <w:szCs w:val="32"/>
          <w:lang w:eastAsia="zh-CN"/>
        </w:rPr>
        <w:t>（六）负责应由区人民检察院承办的提起公益诉讼工作。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lang w:eastAsia="zh-CN"/>
        </w:rPr>
      </w:pPr>
      <w:r>
        <w:rPr>
          <w:rFonts w:hint="eastAsia" w:asciiTheme="minorEastAsia" w:hAnsiTheme="minorEastAsia"/>
          <w:sz w:val="32"/>
          <w:szCs w:val="32"/>
          <w:lang w:eastAsia="zh-CN"/>
        </w:rPr>
        <w:t>（七）负责应由区人民检察院承办的对看守所、社区矫正机构等执法活动的法律监督工作。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lang w:eastAsia="zh-CN"/>
        </w:rPr>
      </w:pPr>
      <w:r>
        <w:rPr>
          <w:rFonts w:hint="eastAsia" w:asciiTheme="minorEastAsia" w:hAnsiTheme="minorEastAsia"/>
          <w:sz w:val="32"/>
          <w:szCs w:val="32"/>
          <w:lang w:eastAsia="zh-CN"/>
        </w:rPr>
        <w:t>（八）受理向区人民检察院的控告申诉。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lang w:eastAsia="zh-CN"/>
        </w:rPr>
      </w:pPr>
      <w:r>
        <w:rPr>
          <w:rFonts w:hint="eastAsia" w:asciiTheme="minorEastAsia" w:hAnsiTheme="minorEastAsia"/>
          <w:sz w:val="32"/>
          <w:szCs w:val="32"/>
          <w:lang w:eastAsia="zh-CN"/>
        </w:rPr>
        <w:t>（九）负责检察机关的理论研究工作。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lang w:eastAsia="zh-CN"/>
        </w:rPr>
      </w:pPr>
      <w:r>
        <w:rPr>
          <w:rFonts w:hint="eastAsia" w:asciiTheme="minorEastAsia" w:hAnsiTheme="minorEastAsia"/>
          <w:sz w:val="32"/>
          <w:szCs w:val="32"/>
          <w:lang w:eastAsia="zh-CN"/>
        </w:rPr>
        <w:t>（十）负责检察机关队伍建设和思想政治工作。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lang w:eastAsia="zh-CN"/>
        </w:rPr>
      </w:pPr>
      <w:r>
        <w:rPr>
          <w:rFonts w:hint="eastAsia" w:asciiTheme="minorEastAsia" w:hAnsiTheme="minorEastAsia"/>
          <w:sz w:val="32"/>
          <w:szCs w:val="32"/>
          <w:lang w:eastAsia="zh-CN"/>
        </w:rPr>
        <w:t>（十一）负责检务督察工作。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lang w:eastAsia="zh-CN"/>
        </w:rPr>
      </w:pPr>
      <w:r>
        <w:rPr>
          <w:rFonts w:hint="eastAsia" w:asciiTheme="minorEastAsia" w:hAnsiTheme="minorEastAsia"/>
          <w:sz w:val="32"/>
          <w:szCs w:val="32"/>
          <w:lang w:eastAsia="zh-CN"/>
        </w:rPr>
        <w:t>（十二）负责检察机关财物装备和检察技术信息工作。</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lang w:eastAsia="zh-CN"/>
        </w:rPr>
      </w:pPr>
      <w:r>
        <w:rPr>
          <w:rFonts w:hint="eastAsia" w:asciiTheme="minorEastAsia" w:hAnsiTheme="minorEastAsia"/>
          <w:sz w:val="32"/>
          <w:szCs w:val="32"/>
          <w:lang w:eastAsia="zh-CN"/>
        </w:rPr>
        <w:t>（十三）负责其他应当由区人民检察院承办的事项。</w:t>
      </w:r>
    </w:p>
    <w:p>
      <w:pPr>
        <w:widowControl/>
        <w:spacing w:line="600" w:lineRule="exact"/>
        <w:rPr>
          <w:rFonts w:asciiTheme="minorEastAsia" w:hAnsiTheme="minorEastAsia"/>
          <w:bCs/>
          <w:kern w:val="0"/>
          <w:sz w:val="32"/>
          <w:szCs w:val="32"/>
        </w:rPr>
      </w:pPr>
      <w:r>
        <w:rPr>
          <w:rFonts w:hint="eastAsia" w:ascii="黑体" w:hAnsi="黑体" w:eastAsia="黑体"/>
          <w:bCs/>
          <w:kern w:val="0"/>
          <w:sz w:val="32"/>
          <w:szCs w:val="32"/>
        </w:rPr>
        <w:t>二、机构设置及决算单位构成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lang w:eastAsia="zh-CN"/>
        </w:rPr>
      </w:pPr>
      <w:r>
        <w:rPr>
          <w:rFonts w:hint="eastAsia" w:asciiTheme="minorEastAsia" w:hAnsiTheme="minorEastAsia"/>
          <w:sz w:val="32"/>
          <w:szCs w:val="32"/>
          <w:lang w:eastAsia="zh-CN"/>
        </w:rPr>
        <w:t>（一）内设机构设置。</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lang w:eastAsia="zh-CN"/>
        </w:rPr>
      </w:pPr>
      <w:r>
        <w:rPr>
          <w:rFonts w:hint="eastAsia" w:asciiTheme="minorEastAsia" w:hAnsiTheme="minorEastAsia"/>
          <w:sz w:val="32"/>
          <w:szCs w:val="32"/>
          <w:lang w:eastAsia="zh-CN"/>
        </w:rPr>
        <w:t>我院现有8个内设机构，分别为办公室、政治部(司法法警大队)、第一检察部、第二检察部、第三检察部、第四检察部、第五检察部、第六检察部。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lang w:eastAsia="zh-CN"/>
        </w:rPr>
      </w:pPr>
      <w:r>
        <w:rPr>
          <w:rFonts w:hint="eastAsia" w:asciiTheme="minorEastAsia" w:hAnsiTheme="minorEastAsia"/>
          <w:sz w:val="32"/>
          <w:szCs w:val="32"/>
          <w:lang w:eastAsia="zh-CN"/>
        </w:rPr>
        <w:t>（二）决算单位构成。</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sz w:val="32"/>
          <w:szCs w:val="32"/>
          <w:lang w:eastAsia="zh-CN"/>
        </w:rPr>
      </w:pPr>
      <w:r>
        <w:rPr>
          <w:rFonts w:hint="eastAsia" w:asciiTheme="minorEastAsia" w:hAnsiTheme="minorEastAsia"/>
          <w:sz w:val="32"/>
          <w:szCs w:val="32"/>
          <w:lang w:eastAsia="zh-CN"/>
        </w:rPr>
        <w:t>长沙市</w:t>
      </w:r>
      <w:r>
        <w:rPr>
          <w:rFonts w:hint="eastAsia" w:asciiTheme="minorEastAsia" w:hAnsiTheme="minorEastAsia"/>
          <w:sz w:val="32"/>
          <w:szCs w:val="32"/>
          <w:lang w:val="en-US" w:eastAsia="zh-CN"/>
        </w:rPr>
        <w:t>开福</w:t>
      </w:r>
      <w:r>
        <w:rPr>
          <w:rFonts w:hint="eastAsia" w:asciiTheme="minorEastAsia" w:hAnsiTheme="minorEastAsia"/>
          <w:sz w:val="32"/>
          <w:szCs w:val="32"/>
          <w:lang w:eastAsia="zh-CN"/>
        </w:rPr>
        <w:t>区人民检察院2021年部门决算包含的主体范围是机关本级。</w:t>
      </w:r>
    </w:p>
    <w:p>
      <w:pPr>
        <w:ind w:firstLine="800" w:firstLineChars="250"/>
        <w:jc w:val="left"/>
        <w:rPr>
          <w:rFonts w:hint="eastAsia" w:asciiTheme="minorEastAsia" w:hAnsiTheme="minorEastAsia"/>
          <w:sz w:val="32"/>
          <w:szCs w:val="32"/>
          <w:lang w:eastAsia="zh-CN"/>
        </w:rPr>
      </w:pPr>
    </w:p>
    <w:p>
      <w:pPr>
        <w:widowControl/>
        <w:spacing w:line="600" w:lineRule="exact"/>
        <w:rPr>
          <w:rFonts w:asciiTheme="minorEastAsia" w:hAnsiTheme="minorEastAsia"/>
          <w:bCs/>
          <w:kern w:val="0"/>
          <w:sz w:val="32"/>
          <w:szCs w:val="32"/>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left"/>
        <w:rPr>
          <w:rFonts w:asciiTheme="minorEastAsia" w:hAnsiTheme="minorEastAsia"/>
          <w:sz w:val="32"/>
          <w:szCs w:val="32"/>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3642"/>
        <w:gridCol w:w="1162"/>
        <w:gridCol w:w="3533"/>
        <w:gridCol w:w="2891"/>
        <w:gridCol w:w="616"/>
        <w:gridCol w:w="22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trHeight w:val="375" w:hRule="atLeast"/>
        </w:trPr>
        <w:tc>
          <w:tcPr>
            <w:tcW w:w="3642" w:type="dxa"/>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22"/>
                <w:szCs w:val="22"/>
                <w:u w:val="none"/>
              </w:rPr>
            </w:pPr>
          </w:p>
        </w:tc>
        <w:tc>
          <w:tcPr>
            <w:tcW w:w="1162" w:type="dxa"/>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533" w:type="dxa"/>
            <w:tcBorders>
              <w:top w:val="nil"/>
              <w:left w:val="nil"/>
              <w:bottom w:val="nil"/>
              <w:right w:val="nil"/>
            </w:tcBorders>
            <w:shd w:val="clear" w:color="auto" w:fill="FFFFFF" w:themeFill="background1"/>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收入支出决算总表</w:t>
            </w:r>
          </w:p>
        </w:tc>
        <w:tc>
          <w:tcPr>
            <w:tcW w:w="2891" w:type="dxa"/>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616" w:type="dxa"/>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2237" w:type="dxa"/>
            <w:tcBorders>
              <w:top w:val="nil"/>
              <w:left w:val="nil"/>
              <w:bottom w:val="nil"/>
              <w:right w:val="single" w:color="80808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trHeight w:val="300" w:hRule="atLeast"/>
        </w:trPr>
        <w:tc>
          <w:tcPr>
            <w:tcW w:w="3642" w:type="dxa"/>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1162" w:type="dxa"/>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533" w:type="dxa"/>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2891" w:type="dxa"/>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616" w:type="dxa"/>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2237" w:type="dxa"/>
            <w:tcBorders>
              <w:top w:val="nil"/>
              <w:left w:val="nil"/>
              <w:bottom w:val="nil"/>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trHeight w:val="300" w:hRule="atLeast"/>
        </w:trPr>
        <w:tc>
          <w:tcPr>
            <w:tcW w:w="3642" w:type="dxa"/>
            <w:tcBorders>
              <w:top w:val="nil"/>
              <w:left w:val="nil"/>
              <w:bottom w:val="single" w:color="808080" w:sz="4" w:space="0"/>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部门：长沙市开福区人民检察院</w:t>
            </w:r>
          </w:p>
        </w:tc>
        <w:tc>
          <w:tcPr>
            <w:tcW w:w="1162" w:type="dxa"/>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533" w:type="dxa"/>
            <w:tcBorders>
              <w:top w:val="nil"/>
              <w:left w:val="nil"/>
              <w:bottom w:val="single" w:color="808080" w:sz="4" w:space="0"/>
              <w:right w:val="nil"/>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2021年度</w:t>
            </w:r>
          </w:p>
        </w:tc>
        <w:tc>
          <w:tcPr>
            <w:tcW w:w="2891" w:type="dxa"/>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616" w:type="dxa"/>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2237" w:type="dxa"/>
            <w:tcBorders>
              <w:top w:val="nil"/>
              <w:left w:val="nil"/>
              <w:bottom w:val="single" w:color="808080" w:sz="4" w:space="0"/>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8337" w:type="dxa"/>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5744" w:type="dxa"/>
            <w:gridSpan w:val="3"/>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一、一般公共预算财政拨款收入</w:t>
            </w: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2,219.99</w:t>
            </w: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二、政府性基金预算财政拨款收入</w:t>
            </w: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三、国有资本经营预算财政拨款收入</w:t>
            </w: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四、上级补助收入</w:t>
            </w: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五、事业收入</w:t>
            </w: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六、经营收入</w:t>
            </w: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七、附属单位上缴收入</w:t>
            </w: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八、其他收入</w:t>
            </w: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1,311.96</w:t>
            </w: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0"/>
                <w:szCs w:val="20"/>
                <w:u w:val="none"/>
              </w:rPr>
            </w:pP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3,531.95</w:t>
            </w: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3,544.77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使用非财政拨款结余</w:t>
            </w: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结余分配</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66.15</w:t>
            </w: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3642" w:type="dxa"/>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162"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3533"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3,598.10</w:t>
            </w:r>
          </w:p>
        </w:tc>
        <w:tc>
          <w:tcPr>
            <w:tcW w:w="2891"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616"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237" w:type="dxa"/>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3,598.10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4081" w:type="dxa"/>
            <w:gridSpan w:val="6"/>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4081" w:type="dxa"/>
            <w:gridSpan w:val="6"/>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4081" w:type="dxa"/>
            <w:gridSpan w:val="6"/>
            <w:tcBorders>
              <w:top w:val="nil"/>
              <w:left w:val="nil"/>
              <w:bottom w:val="nil"/>
              <w:right w:val="single" w:color="80808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r>
    </w:tbl>
    <w:p>
      <w:pPr>
        <w:jc w:val="center"/>
        <w:rPr>
          <w:rFonts w:ascii="黑体" w:hAnsi="黑体" w:eastAsia="黑体"/>
          <w:sz w:val="28"/>
          <w:szCs w:val="28"/>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type="linesAndChars" w:linePitch="312" w:charSpace="0"/>
        </w:sectPr>
      </w:pPr>
    </w:p>
    <w:tbl>
      <w:tblPr>
        <w:tblStyle w:val="6"/>
        <w:tblW w:w="500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3293"/>
        <w:gridCol w:w="240"/>
        <w:gridCol w:w="240"/>
        <w:gridCol w:w="2377"/>
        <w:gridCol w:w="14"/>
        <w:gridCol w:w="1531"/>
        <w:gridCol w:w="14"/>
        <w:gridCol w:w="1711"/>
        <w:gridCol w:w="14"/>
        <w:gridCol w:w="1273"/>
        <w:gridCol w:w="14"/>
        <w:gridCol w:w="988"/>
        <w:gridCol w:w="14"/>
        <w:gridCol w:w="1050"/>
        <w:gridCol w:w="14"/>
        <w:gridCol w:w="1050"/>
        <w:gridCol w:w="14"/>
        <w:gridCol w:w="1757"/>
        <w:gridCol w:w="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5" w:hRule="atLeast"/>
        </w:trPr>
        <w:tc>
          <w:tcPr>
            <w:tcW w:w="1053"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6"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6"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65" w:type="pct"/>
            <w:gridSpan w:val="2"/>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94" w:type="pct"/>
            <w:gridSpan w:val="2"/>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52" w:type="pct"/>
            <w:gridSpan w:val="2"/>
            <w:tcBorders>
              <w:top w:val="nil"/>
              <w:left w:val="nil"/>
              <w:bottom w:val="nil"/>
              <w:right w:val="nil"/>
            </w:tcBorders>
            <w:shd w:val="clear" w:color="auto" w:fill="FFFFFF" w:themeFill="background1"/>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收入决算表</w:t>
            </w:r>
          </w:p>
        </w:tc>
        <w:tc>
          <w:tcPr>
            <w:tcW w:w="411" w:type="pct"/>
            <w:gridSpan w:val="2"/>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20" w:type="pct"/>
            <w:gridSpan w:val="2"/>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40" w:type="pct"/>
            <w:gridSpan w:val="2"/>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40" w:type="pct"/>
            <w:gridSpan w:val="2"/>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66" w:type="pct"/>
            <w:gridSpan w:val="2"/>
            <w:tcBorders>
              <w:top w:val="nil"/>
              <w:left w:val="nil"/>
              <w:bottom w:val="nil"/>
              <w:right w:val="single" w:color="80808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53"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6"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6"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65" w:type="pct"/>
            <w:gridSpan w:val="2"/>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94" w:type="pct"/>
            <w:gridSpan w:val="2"/>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52" w:type="pct"/>
            <w:gridSpan w:val="2"/>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11" w:type="pct"/>
            <w:gridSpan w:val="2"/>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20" w:type="pct"/>
            <w:gridSpan w:val="2"/>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40" w:type="pct"/>
            <w:gridSpan w:val="2"/>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40" w:type="pct"/>
            <w:gridSpan w:val="2"/>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66" w:type="pct"/>
            <w:gridSpan w:val="2"/>
            <w:tcBorders>
              <w:top w:val="nil"/>
              <w:left w:val="nil"/>
              <w:bottom w:val="nil"/>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53" w:type="pct"/>
            <w:tcBorders>
              <w:top w:val="nil"/>
              <w:left w:val="nil"/>
              <w:bottom w:val="single" w:color="808080" w:sz="4" w:space="0"/>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部门：长沙市开福区人民检察院</w:t>
            </w:r>
          </w:p>
        </w:tc>
        <w:tc>
          <w:tcPr>
            <w:tcW w:w="76"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6"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65" w:type="pct"/>
            <w:gridSpan w:val="2"/>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94" w:type="pct"/>
            <w:gridSpan w:val="2"/>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52" w:type="pct"/>
            <w:gridSpan w:val="2"/>
            <w:tcBorders>
              <w:top w:val="nil"/>
              <w:left w:val="nil"/>
              <w:bottom w:val="single" w:color="808080" w:sz="4" w:space="0"/>
              <w:right w:val="nil"/>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411" w:type="pct"/>
            <w:gridSpan w:val="2"/>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20" w:type="pct"/>
            <w:gridSpan w:val="2"/>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40" w:type="pct"/>
            <w:gridSpan w:val="2"/>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40" w:type="pct"/>
            <w:gridSpan w:val="2"/>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66" w:type="pct"/>
            <w:gridSpan w:val="2"/>
            <w:tcBorders>
              <w:top w:val="nil"/>
              <w:left w:val="nil"/>
              <w:bottom w:val="single" w:color="808080" w:sz="4" w:space="0"/>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968"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94" w:type="pct"/>
            <w:gridSpan w:val="2"/>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552" w:type="pct"/>
            <w:gridSpan w:val="2"/>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411" w:type="pct"/>
            <w:gridSpan w:val="2"/>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320" w:type="pct"/>
            <w:gridSpan w:val="2"/>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340" w:type="pct"/>
            <w:gridSpan w:val="2"/>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340" w:type="pct"/>
            <w:gridSpan w:val="2"/>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566" w:type="pct"/>
            <w:gridSpan w:val="2"/>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7" w:type="pct"/>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760" w:type="pct"/>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94"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552"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411"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20"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40"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40"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566"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7"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760"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494"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552"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411"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20"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40"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40"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566"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7"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760"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494"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552"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411"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20"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40"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40"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566"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968"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494" w:type="pct"/>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52" w:type="pct"/>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11" w:type="pct"/>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20" w:type="pct"/>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40" w:type="pct"/>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40" w:type="pct"/>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566" w:type="pct"/>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968"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3,531.95</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2,219.99</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1,311.96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公共安全支出</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3,078.79</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1,815.90</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1,262.89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20402</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公安</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2040299</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其他公安支出</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20404</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检察</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3,077.79</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1,815.90</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1,261.89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2040401</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2,879.21</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1,620.55</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2040402</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175.57</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172.35</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2040410</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检察监督</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教育支出</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20508</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进修及培训</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2050803</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培训支出</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142.54</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95.47</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129.63</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82.56</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行政单位离退休</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47.07</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82.56</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82.56</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其他社会保障和就业支出</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12.91</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12.91</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2089999</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12.91</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12.91</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117.62</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117.62</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117.62</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117.62</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81.50</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81.50</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2101103</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36.12</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36.12</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城乡社区支出</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21299</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其他城乡社区支出</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2129999</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其他城乡社区支出</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185.00</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185.00</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185.00</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185.00</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7"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76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494"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185.00</w:t>
            </w:r>
          </w:p>
        </w:tc>
        <w:tc>
          <w:tcPr>
            <w:tcW w:w="55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185.00</w:t>
            </w:r>
          </w:p>
        </w:tc>
        <w:tc>
          <w:tcPr>
            <w:tcW w:w="411"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66"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4995" w:type="pct"/>
            <w:gridSpan w:val="18"/>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500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3292"/>
        <w:gridCol w:w="240"/>
        <w:gridCol w:w="222"/>
        <w:gridCol w:w="14"/>
        <w:gridCol w:w="2426"/>
        <w:gridCol w:w="2191"/>
        <w:gridCol w:w="1703"/>
        <w:gridCol w:w="14"/>
        <w:gridCol w:w="1182"/>
        <w:gridCol w:w="14"/>
        <w:gridCol w:w="1263"/>
        <w:gridCol w:w="14"/>
        <w:gridCol w:w="1266"/>
        <w:gridCol w:w="14"/>
        <w:gridCol w:w="1753"/>
        <w:gridCol w:w="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5" w:hRule="atLeast"/>
        </w:trPr>
        <w:tc>
          <w:tcPr>
            <w:tcW w:w="1053"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6"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5" w:type="pct"/>
            <w:gridSpan w:val="2"/>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76"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01" w:type="pct"/>
            <w:tcBorders>
              <w:top w:val="nil"/>
              <w:left w:val="nil"/>
              <w:bottom w:val="nil"/>
              <w:right w:val="nil"/>
            </w:tcBorders>
            <w:shd w:val="clear" w:color="auto" w:fill="FFFFFF" w:themeFill="background1"/>
            <w:noWrap/>
            <w:vAlign w:val="center"/>
          </w:tcPr>
          <w:p>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支出决算表</w:t>
            </w:r>
          </w:p>
        </w:tc>
        <w:tc>
          <w:tcPr>
            <w:tcW w:w="549" w:type="pct"/>
            <w:gridSpan w:val="2"/>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82" w:type="pct"/>
            <w:gridSpan w:val="2"/>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08" w:type="pct"/>
            <w:gridSpan w:val="2"/>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09" w:type="pct"/>
            <w:gridSpan w:val="2"/>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65" w:type="pct"/>
            <w:gridSpan w:val="2"/>
            <w:tcBorders>
              <w:top w:val="nil"/>
              <w:left w:val="nil"/>
              <w:bottom w:val="nil"/>
              <w:right w:val="single" w:color="80808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53"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6"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5" w:type="pct"/>
            <w:gridSpan w:val="2"/>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76"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01"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49" w:type="pct"/>
            <w:gridSpan w:val="2"/>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82" w:type="pct"/>
            <w:gridSpan w:val="2"/>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08" w:type="pct"/>
            <w:gridSpan w:val="2"/>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09" w:type="pct"/>
            <w:gridSpan w:val="2"/>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65" w:type="pct"/>
            <w:gridSpan w:val="2"/>
            <w:tcBorders>
              <w:top w:val="nil"/>
              <w:left w:val="nil"/>
              <w:bottom w:val="nil"/>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53" w:type="pct"/>
            <w:tcBorders>
              <w:top w:val="nil"/>
              <w:left w:val="nil"/>
              <w:bottom w:val="single" w:color="808080" w:sz="4" w:space="0"/>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部门：长沙市开福区人民检察院</w:t>
            </w:r>
          </w:p>
        </w:tc>
        <w:tc>
          <w:tcPr>
            <w:tcW w:w="76"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5" w:type="pct"/>
            <w:gridSpan w:val="2"/>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76"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01" w:type="pct"/>
            <w:tcBorders>
              <w:top w:val="nil"/>
              <w:left w:val="nil"/>
              <w:bottom w:val="single" w:color="808080" w:sz="4" w:space="0"/>
              <w:right w:val="nil"/>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549" w:type="pct"/>
            <w:gridSpan w:val="2"/>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82" w:type="pct"/>
            <w:gridSpan w:val="2"/>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08" w:type="pct"/>
            <w:gridSpan w:val="2"/>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09" w:type="pct"/>
            <w:gridSpan w:val="2"/>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65" w:type="pct"/>
            <w:gridSpan w:val="2"/>
            <w:tcBorders>
              <w:top w:val="nil"/>
              <w:left w:val="nil"/>
              <w:bottom w:val="single" w:color="808080" w:sz="4" w:space="0"/>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982"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701"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545"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382" w:type="pct"/>
            <w:gridSpan w:val="2"/>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408" w:type="pct"/>
            <w:gridSpan w:val="2"/>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409" w:type="pct"/>
            <w:gridSpan w:val="2"/>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565" w:type="pct"/>
            <w:gridSpan w:val="2"/>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780" w:type="pct"/>
            <w:gridSpan w:val="2"/>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01"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545"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408"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409"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565"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780" w:type="pct"/>
            <w:gridSpan w:val="2"/>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701"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545"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408"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409"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565"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12" w:hRule="atLeast"/>
        </w:trPr>
        <w:tc>
          <w:tcPr>
            <w:tcW w:w="1201"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780" w:type="pct"/>
            <w:gridSpan w:val="2"/>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701"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545"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82"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408"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409"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565" w:type="pct"/>
            <w:gridSpan w:val="2"/>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982"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701"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5"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82" w:type="pct"/>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08" w:type="pct"/>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09" w:type="pct"/>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65" w:type="pct"/>
            <w:gridSpan w:val="2"/>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982" w:type="pct"/>
            <w:gridSpan w:val="5"/>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3,544.77</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3,356.38</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188.39</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公共安全支出</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3,091.60</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2,903.21</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188.39</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20402</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公安</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1.00</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2040299</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其他公安支出</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20404</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检察</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3,090.60</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2,902.21</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188.39</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2040401</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2,879.21</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2,879.21</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2040402</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188.39</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188.39</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2040410</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检察监督</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教育支出</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20508</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进修及培训</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2050803</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培训支出</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142.54</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142.54</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129.63</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129.63</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2080501</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行政单位离退休</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47.07</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47.07</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82.56</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82.56</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其他社会保障和就业支出</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12.91</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12.91</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2089999</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12.91</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12.91</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117.62</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117.62</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117.62</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117.62</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81.50</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81.50</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2101103</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36.12</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36.12</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城乡社区支出</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21299</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其他城乡社区支出</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2.00</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2129999</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其他城乡社区支出</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185.00</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185.00</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185.00</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185.00</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300" w:hRule="atLeast"/>
        </w:trPr>
        <w:tc>
          <w:tcPr>
            <w:tcW w:w="120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780"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70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185.00</w:t>
            </w:r>
          </w:p>
        </w:tc>
        <w:tc>
          <w:tcPr>
            <w:tcW w:w="54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185.00</w:t>
            </w:r>
          </w:p>
        </w:tc>
        <w:tc>
          <w:tcPr>
            <w:tcW w:w="382"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8"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409"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65" w:type="pct"/>
            <w:gridSpan w:val="2"/>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pct"/>
          <w:trHeight w:val="300" w:hRule="atLeast"/>
        </w:trPr>
        <w:tc>
          <w:tcPr>
            <w:tcW w:w="4995" w:type="pct"/>
            <w:gridSpan w:val="15"/>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3345"/>
        <w:gridCol w:w="330"/>
        <w:gridCol w:w="1260"/>
        <w:gridCol w:w="2445"/>
        <w:gridCol w:w="1290"/>
        <w:gridCol w:w="1035"/>
        <w:gridCol w:w="1695"/>
        <w:gridCol w:w="1695"/>
        <w:gridCol w:w="2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5" w:hRule="atLeast"/>
        </w:trPr>
        <w:tc>
          <w:tcPr>
            <w:tcW w:w="1071"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bookmarkStart w:id="0" w:name="RANGE!A1:I22"/>
            <w:bookmarkEnd w:id="0"/>
            <w:bookmarkStart w:id="1" w:name="RANGE!A1:F16"/>
          </w:p>
        </w:tc>
        <w:tc>
          <w:tcPr>
            <w:tcW w:w="105"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03"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2070" w:type="pct"/>
            <w:gridSpan w:val="4"/>
            <w:tcBorders>
              <w:top w:val="nil"/>
              <w:left w:val="nil"/>
              <w:bottom w:val="nil"/>
              <w:right w:val="nil"/>
            </w:tcBorders>
            <w:shd w:val="clear" w:color="auto" w:fill="FFFFFF" w:themeFill="background1"/>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财政拨款收入支出决算总表</w:t>
            </w:r>
          </w:p>
        </w:tc>
        <w:tc>
          <w:tcPr>
            <w:tcW w:w="542"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806" w:type="pct"/>
            <w:tcBorders>
              <w:top w:val="nil"/>
              <w:left w:val="nil"/>
              <w:bottom w:val="nil"/>
              <w:right w:val="single" w:color="80808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105"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03"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82"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13"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31"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42"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806" w:type="pct"/>
            <w:tcBorders>
              <w:top w:val="nil"/>
              <w:left w:val="nil"/>
              <w:bottom w:val="nil"/>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nil"/>
              <w:bottom w:val="single" w:color="808080" w:sz="4" w:space="0"/>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部门：长沙市开福区人民检察院</w:t>
            </w:r>
          </w:p>
        </w:tc>
        <w:tc>
          <w:tcPr>
            <w:tcW w:w="105"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03"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82"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13" w:type="pct"/>
            <w:tcBorders>
              <w:top w:val="nil"/>
              <w:left w:val="nil"/>
              <w:bottom w:val="single" w:color="808080" w:sz="4" w:space="0"/>
              <w:right w:val="nil"/>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331"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42"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42"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806" w:type="pct"/>
            <w:tcBorders>
              <w:top w:val="nil"/>
              <w:left w:val="nil"/>
              <w:bottom w:val="single" w:color="808080" w:sz="4" w:space="0"/>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92" w:hRule="atLeast"/>
        </w:trPr>
        <w:tc>
          <w:tcPr>
            <w:tcW w:w="1580"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     入</w:t>
            </w:r>
          </w:p>
        </w:tc>
        <w:tc>
          <w:tcPr>
            <w:tcW w:w="3419" w:type="pct"/>
            <w:gridSpan w:val="6"/>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85" w:hRule="atLeast"/>
        </w:trPr>
        <w:tc>
          <w:tcPr>
            <w:tcW w:w="1071" w:type="pct"/>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05"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403"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782"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413"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331" w:type="pct"/>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42"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542"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806"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12" w:hRule="atLeast"/>
        </w:trPr>
        <w:tc>
          <w:tcPr>
            <w:tcW w:w="1071" w:type="pct"/>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both"/>
              <w:rPr>
                <w:rFonts w:hint="eastAsia" w:ascii="宋体" w:hAnsi="宋体" w:eastAsia="宋体" w:cs="宋体"/>
                <w:i w:val="0"/>
                <w:iCs w:val="0"/>
                <w:color w:val="000000"/>
                <w:sz w:val="20"/>
                <w:szCs w:val="20"/>
                <w:u w:val="none"/>
              </w:rPr>
            </w:pPr>
          </w:p>
        </w:tc>
        <w:tc>
          <w:tcPr>
            <w:tcW w:w="105"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40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782" w:type="pct"/>
            <w:vMerge w:val="continue"/>
            <w:tcBorders>
              <w:top w:val="nil"/>
              <w:left w:val="nil"/>
              <w:bottom w:val="single" w:color="000000" w:sz="4" w:space="0"/>
              <w:right w:val="single" w:color="000000" w:sz="4" w:space="0"/>
            </w:tcBorders>
            <w:shd w:val="clear" w:color="auto" w:fill="FFFFFF" w:themeFill="background1"/>
            <w:vAlign w:val="bottom"/>
          </w:tcPr>
          <w:p>
            <w:pPr>
              <w:jc w:val="both"/>
              <w:rPr>
                <w:rFonts w:hint="eastAsia" w:ascii="宋体" w:hAnsi="宋体" w:eastAsia="宋体" w:cs="宋体"/>
                <w:i w:val="0"/>
                <w:iCs w:val="0"/>
                <w:color w:val="000000"/>
                <w:sz w:val="20"/>
                <w:szCs w:val="20"/>
                <w:u w:val="none"/>
              </w:rPr>
            </w:pPr>
          </w:p>
        </w:tc>
        <w:tc>
          <w:tcPr>
            <w:tcW w:w="41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31"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54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54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806"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05"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40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2" w:type="pct"/>
            <w:tcBorders>
              <w:top w:val="nil"/>
              <w:left w:val="nil"/>
              <w:bottom w:val="single" w:color="000000" w:sz="4" w:space="0"/>
              <w:right w:val="single" w:color="000000" w:sz="4" w:space="0"/>
            </w:tcBorders>
            <w:shd w:val="clear" w:color="auto" w:fill="FFFFFF" w:themeFill="background1"/>
            <w:noWrap/>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2,219.99</w:t>
            </w: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三、国有资本经营财政拨款</w:t>
            </w: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1,807.19</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1,807.19</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95.47</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95.47</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九、卫生健康支出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117.62</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117.62</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十、节能环保支出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十一、城乡社区支出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十二、农林水支出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十三、交通运输支出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十四、资源勘探工业信息等支出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十五、商业服务业等支出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十六、金融支出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十七、援助其他地区支出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十八、自然资源海洋气象等支出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十九、住房保障支出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二十、粮油物资储备支出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二十一、国有资本经营预算支出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二十二、灾害防治及应急管理支出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二十三、其他支出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b/>
                <w:bCs/>
                <w:i w:val="0"/>
                <w:iCs w:val="0"/>
                <w:color w:val="000000"/>
                <w:sz w:val="20"/>
                <w:szCs w:val="20"/>
                <w:u w:val="none"/>
              </w:rPr>
            </w:pP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二十四、债务还本支出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二十五、债务付息支出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二十六、抗疫特别国债安排的支出</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本年收入合计</w:t>
            </w: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2,219.99</w:t>
            </w: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本年支出合计</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2,211.28</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2,211.28</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年初财政拨款结转和结余</w:t>
            </w: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41.62</w:t>
            </w: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年末财政拨款结转和结余</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50.33</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50.33</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一般公共预算财政拨款</w:t>
            </w: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41.62</w:t>
            </w:r>
          </w:p>
        </w:tc>
        <w:tc>
          <w:tcPr>
            <w:tcW w:w="782"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542"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542"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80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政府性基金预算财政拨款</w:t>
            </w: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2"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542"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542"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80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国有资本经营预算财政拨款</w:t>
            </w: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82"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542"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542"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80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71"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10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0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2,261.61</w:t>
            </w:r>
          </w:p>
        </w:tc>
        <w:tc>
          <w:tcPr>
            <w:tcW w:w="78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4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33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2,261.61</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2,261.61</w:t>
            </w:r>
          </w:p>
        </w:tc>
        <w:tc>
          <w:tcPr>
            <w:tcW w:w="54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0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193" w:type="pct"/>
            <w:gridSpan w:val="8"/>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注：本表反映部门本年度一般公共预算财政拨款、政府性基金预算财政拨款和国有资本经营预算财政拨款的总收支和年末结转结余情况。</w:t>
            </w:r>
          </w:p>
        </w:tc>
        <w:tc>
          <w:tcPr>
            <w:tcW w:w="806"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193" w:type="pct"/>
            <w:gridSpan w:val="8"/>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806" w:type="pct"/>
            <w:tcBorders>
              <w:top w:val="nil"/>
              <w:left w:val="nil"/>
              <w:bottom w:val="nil"/>
              <w:right w:val="single" w:color="80808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p>
      <w:pPr>
        <w:widowControl/>
        <w:jc w:val="both"/>
        <w:rPr>
          <w:rFonts w:ascii="Times New Roman" w:hAnsi="Times New Roman" w:eastAsia="方正小标宋_GBK" w:cs="Times New Roman"/>
          <w:kern w:val="0"/>
          <w:sz w:val="36"/>
          <w:szCs w:val="36"/>
        </w:rPr>
      </w:pPr>
    </w:p>
    <w:tbl>
      <w:tblPr>
        <w:tblStyle w:val="6"/>
        <w:tblW w:w="4784" w:type="pct"/>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2820"/>
        <w:gridCol w:w="412"/>
        <w:gridCol w:w="240"/>
        <w:gridCol w:w="2738"/>
        <w:gridCol w:w="3435"/>
        <w:gridCol w:w="2760"/>
        <w:gridCol w:w="25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969" w:hRule="atLeast"/>
        </w:trPr>
        <w:tc>
          <w:tcPr>
            <w:tcW w:w="943"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207" w:type="pct"/>
            <w:gridSpan w:val="5"/>
            <w:tcBorders>
              <w:top w:val="nil"/>
              <w:left w:val="nil"/>
              <w:bottom w:val="nil"/>
              <w:right w:val="nil"/>
            </w:tcBorders>
            <w:shd w:val="clear" w:color="auto" w:fill="FFFFFF" w:themeFill="background1"/>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一般公共预算财政拨款支出决算表</w:t>
            </w:r>
          </w:p>
        </w:tc>
        <w:tc>
          <w:tcPr>
            <w:tcW w:w="848" w:type="pct"/>
            <w:tcBorders>
              <w:top w:val="nil"/>
              <w:left w:val="nil"/>
              <w:bottom w:val="nil"/>
              <w:right w:val="single" w:color="80808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943"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137"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80"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916"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1149"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923"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848" w:type="pct"/>
            <w:tcBorders>
              <w:top w:val="nil"/>
              <w:left w:val="nil"/>
              <w:bottom w:val="nil"/>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3" w:type="pct"/>
            <w:tcBorders>
              <w:top w:val="nil"/>
              <w:left w:val="nil"/>
              <w:bottom w:val="single" w:color="808080" w:sz="4" w:space="0"/>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部门：长沙市开福区人民检察院</w:t>
            </w:r>
          </w:p>
        </w:tc>
        <w:tc>
          <w:tcPr>
            <w:tcW w:w="137"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80"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916" w:type="pct"/>
            <w:tcBorders>
              <w:top w:val="nil"/>
              <w:left w:val="nil"/>
              <w:bottom w:val="single" w:color="808080" w:sz="4" w:space="0"/>
              <w:right w:val="nil"/>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49"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2021年度</w:t>
            </w:r>
          </w:p>
        </w:tc>
        <w:tc>
          <w:tcPr>
            <w:tcW w:w="923"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848" w:type="pct"/>
            <w:tcBorders>
              <w:top w:val="nil"/>
              <w:left w:val="nil"/>
              <w:bottom w:val="single" w:color="808080" w:sz="4" w:space="0"/>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2078"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2921" w:type="pct"/>
            <w:gridSpan w:val="3"/>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61" w:type="pct"/>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916" w:type="pct"/>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149"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923"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848"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70" w:hRule="atLeast"/>
        </w:trPr>
        <w:tc>
          <w:tcPr>
            <w:tcW w:w="1161"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916"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1149"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92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848"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40" w:hRule="atLeast"/>
        </w:trPr>
        <w:tc>
          <w:tcPr>
            <w:tcW w:w="1161"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916"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1149"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92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848"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078"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14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2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4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078"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4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2,211.28</w:t>
            </w:r>
          </w:p>
        </w:tc>
        <w:tc>
          <w:tcPr>
            <w:tcW w:w="92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2,047.64</w:t>
            </w:r>
          </w:p>
        </w:tc>
        <w:tc>
          <w:tcPr>
            <w:tcW w:w="84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6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w:t>
            </w:r>
          </w:p>
        </w:tc>
        <w:tc>
          <w:tcPr>
            <w:tcW w:w="9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公共安全支出</w:t>
            </w:r>
          </w:p>
        </w:tc>
        <w:tc>
          <w:tcPr>
            <w:tcW w:w="114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1,807.19</w:t>
            </w:r>
          </w:p>
        </w:tc>
        <w:tc>
          <w:tcPr>
            <w:tcW w:w="92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1,643.55</w:t>
            </w:r>
          </w:p>
        </w:tc>
        <w:tc>
          <w:tcPr>
            <w:tcW w:w="84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6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20404</w:t>
            </w:r>
          </w:p>
        </w:tc>
        <w:tc>
          <w:tcPr>
            <w:tcW w:w="9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检察</w:t>
            </w:r>
          </w:p>
        </w:tc>
        <w:tc>
          <w:tcPr>
            <w:tcW w:w="114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1,807.19</w:t>
            </w:r>
          </w:p>
        </w:tc>
        <w:tc>
          <w:tcPr>
            <w:tcW w:w="92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1,643.55</w:t>
            </w:r>
          </w:p>
        </w:tc>
        <w:tc>
          <w:tcPr>
            <w:tcW w:w="84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6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2040401</w:t>
            </w:r>
          </w:p>
        </w:tc>
        <w:tc>
          <w:tcPr>
            <w:tcW w:w="9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14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1,620.55</w:t>
            </w:r>
          </w:p>
        </w:tc>
        <w:tc>
          <w:tcPr>
            <w:tcW w:w="92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1,620.55</w:t>
            </w:r>
          </w:p>
        </w:tc>
        <w:tc>
          <w:tcPr>
            <w:tcW w:w="84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6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2040402</w:t>
            </w:r>
          </w:p>
        </w:tc>
        <w:tc>
          <w:tcPr>
            <w:tcW w:w="9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114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163.64</w:t>
            </w:r>
          </w:p>
        </w:tc>
        <w:tc>
          <w:tcPr>
            <w:tcW w:w="92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4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6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2040410</w:t>
            </w:r>
          </w:p>
        </w:tc>
        <w:tc>
          <w:tcPr>
            <w:tcW w:w="9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检察监督</w:t>
            </w:r>
          </w:p>
        </w:tc>
        <w:tc>
          <w:tcPr>
            <w:tcW w:w="114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92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23.00</w:t>
            </w:r>
          </w:p>
        </w:tc>
        <w:tc>
          <w:tcPr>
            <w:tcW w:w="84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6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w:t>
            </w:r>
          </w:p>
        </w:tc>
        <w:tc>
          <w:tcPr>
            <w:tcW w:w="9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教育支出</w:t>
            </w:r>
          </w:p>
        </w:tc>
        <w:tc>
          <w:tcPr>
            <w:tcW w:w="114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w:t>
            </w:r>
          </w:p>
        </w:tc>
        <w:tc>
          <w:tcPr>
            <w:tcW w:w="92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w:t>
            </w:r>
          </w:p>
        </w:tc>
        <w:tc>
          <w:tcPr>
            <w:tcW w:w="84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6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20508</w:t>
            </w:r>
          </w:p>
        </w:tc>
        <w:tc>
          <w:tcPr>
            <w:tcW w:w="9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进修及培训</w:t>
            </w:r>
          </w:p>
        </w:tc>
        <w:tc>
          <w:tcPr>
            <w:tcW w:w="114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w:t>
            </w:r>
          </w:p>
        </w:tc>
        <w:tc>
          <w:tcPr>
            <w:tcW w:w="92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6.00</w:t>
            </w:r>
          </w:p>
        </w:tc>
        <w:tc>
          <w:tcPr>
            <w:tcW w:w="84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6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2050803</w:t>
            </w:r>
          </w:p>
        </w:tc>
        <w:tc>
          <w:tcPr>
            <w:tcW w:w="9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培训支出</w:t>
            </w:r>
          </w:p>
        </w:tc>
        <w:tc>
          <w:tcPr>
            <w:tcW w:w="114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92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84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6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w:t>
            </w:r>
          </w:p>
        </w:tc>
        <w:tc>
          <w:tcPr>
            <w:tcW w:w="9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14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95.47</w:t>
            </w:r>
          </w:p>
        </w:tc>
        <w:tc>
          <w:tcPr>
            <w:tcW w:w="92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95.47</w:t>
            </w:r>
          </w:p>
        </w:tc>
        <w:tc>
          <w:tcPr>
            <w:tcW w:w="84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6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20805</w:t>
            </w:r>
          </w:p>
        </w:tc>
        <w:tc>
          <w:tcPr>
            <w:tcW w:w="9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行政事业单位养老支出</w:t>
            </w:r>
          </w:p>
        </w:tc>
        <w:tc>
          <w:tcPr>
            <w:tcW w:w="114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82.56</w:t>
            </w:r>
          </w:p>
        </w:tc>
        <w:tc>
          <w:tcPr>
            <w:tcW w:w="92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82.56</w:t>
            </w:r>
          </w:p>
        </w:tc>
        <w:tc>
          <w:tcPr>
            <w:tcW w:w="84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6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9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14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82.56</w:t>
            </w:r>
          </w:p>
        </w:tc>
        <w:tc>
          <w:tcPr>
            <w:tcW w:w="92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82.56</w:t>
            </w:r>
          </w:p>
        </w:tc>
        <w:tc>
          <w:tcPr>
            <w:tcW w:w="84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6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20899</w:t>
            </w:r>
          </w:p>
        </w:tc>
        <w:tc>
          <w:tcPr>
            <w:tcW w:w="9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其他社会保障和就业支出</w:t>
            </w:r>
          </w:p>
        </w:tc>
        <w:tc>
          <w:tcPr>
            <w:tcW w:w="114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12.91</w:t>
            </w:r>
          </w:p>
        </w:tc>
        <w:tc>
          <w:tcPr>
            <w:tcW w:w="92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12.91</w:t>
            </w:r>
          </w:p>
        </w:tc>
        <w:tc>
          <w:tcPr>
            <w:tcW w:w="84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6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2089999</w:t>
            </w:r>
          </w:p>
        </w:tc>
        <w:tc>
          <w:tcPr>
            <w:tcW w:w="9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14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12.91</w:t>
            </w:r>
          </w:p>
        </w:tc>
        <w:tc>
          <w:tcPr>
            <w:tcW w:w="92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12.91</w:t>
            </w:r>
          </w:p>
        </w:tc>
        <w:tc>
          <w:tcPr>
            <w:tcW w:w="84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6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w:t>
            </w:r>
          </w:p>
        </w:tc>
        <w:tc>
          <w:tcPr>
            <w:tcW w:w="9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14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117.62</w:t>
            </w:r>
          </w:p>
        </w:tc>
        <w:tc>
          <w:tcPr>
            <w:tcW w:w="92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117.62</w:t>
            </w:r>
          </w:p>
        </w:tc>
        <w:tc>
          <w:tcPr>
            <w:tcW w:w="84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6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21011</w:t>
            </w:r>
          </w:p>
        </w:tc>
        <w:tc>
          <w:tcPr>
            <w:tcW w:w="9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行政事业单位医疗</w:t>
            </w:r>
          </w:p>
        </w:tc>
        <w:tc>
          <w:tcPr>
            <w:tcW w:w="114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117.62</w:t>
            </w:r>
          </w:p>
        </w:tc>
        <w:tc>
          <w:tcPr>
            <w:tcW w:w="92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117.62</w:t>
            </w:r>
          </w:p>
        </w:tc>
        <w:tc>
          <w:tcPr>
            <w:tcW w:w="84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6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9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114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81.50</w:t>
            </w:r>
          </w:p>
        </w:tc>
        <w:tc>
          <w:tcPr>
            <w:tcW w:w="92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81.50</w:t>
            </w:r>
          </w:p>
        </w:tc>
        <w:tc>
          <w:tcPr>
            <w:tcW w:w="84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6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2101103</w:t>
            </w:r>
          </w:p>
        </w:tc>
        <w:tc>
          <w:tcPr>
            <w:tcW w:w="9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w:t>
            </w:r>
          </w:p>
        </w:tc>
        <w:tc>
          <w:tcPr>
            <w:tcW w:w="114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36.12</w:t>
            </w:r>
          </w:p>
        </w:tc>
        <w:tc>
          <w:tcPr>
            <w:tcW w:w="92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36.12</w:t>
            </w:r>
          </w:p>
        </w:tc>
        <w:tc>
          <w:tcPr>
            <w:tcW w:w="84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6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w:t>
            </w:r>
          </w:p>
        </w:tc>
        <w:tc>
          <w:tcPr>
            <w:tcW w:w="9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住房保障支出</w:t>
            </w:r>
          </w:p>
        </w:tc>
        <w:tc>
          <w:tcPr>
            <w:tcW w:w="114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185.00</w:t>
            </w:r>
          </w:p>
        </w:tc>
        <w:tc>
          <w:tcPr>
            <w:tcW w:w="92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185.00</w:t>
            </w:r>
          </w:p>
        </w:tc>
        <w:tc>
          <w:tcPr>
            <w:tcW w:w="84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6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22102</w:t>
            </w:r>
          </w:p>
        </w:tc>
        <w:tc>
          <w:tcPr>
            <w:tcW w:w="9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住房改革支出</w:t>
            </w:r>
          </w:p>
        </w:tc>
        <w:tc>
          <w:tcPr>
            <w:tcW w:w="114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185.00</w:t>
            </w:r>
          </w:p>
        </w:tc>
        <w:tc>
          <w:tcPr>
            <w:tcW w:w="92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185.00</w:t>
            </w:r>
          </w:p>
        </w:tc>
        <w:tc>
          <w:tcPr>
            <w:tcW w:w="84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6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9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149"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185.00</w:t>
            </w:r>
          </w:p>
        </w:tc>
        <w:tc>
          <w:tcPr>
            <w:tcW w:w="92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185.00</w:t>
            </w:r>
          </w:p>
        </w:tc>
        <w:tc>
          <w:tcPr>
            <w:tcW w:w="84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注：本表反映部门本年度一般公共预算财政拨款支出情况。</w:t>
            </w:r>
          </w:p>
        </w:tc>
      </w:tr>
      <w:bookmarkEnd w:id="1"/>
    </w:tbl>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4812" w:type="pct"/>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755"/>
        <w:gridCol w:w="2774"/>
        <w:gridCol w:w="1335"/>
        <w:gridCol w:w="855"/>
        <w:gridCol w:w="1785"/>
        <w:gridCol w:w="1079"/>
        <w:gridCol w:w="1066"/>
        <w:gridCol w:w="2714"/>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849" w:hRule="atLeast"/>
        </w:trPr>
        <w:tc>
          <w:tcPr>
            <w:tcW w:w="5000" w:type="pct"/>
            <w:gridSpan w:val="9"/>
            <w:tcBorders>
              <w:top w:val="nil"/>
              <w:left w:val="nil"/>
              <w:bottom w:val="nil"/>
              <w:right w:val="single" w:color="808080" w:sz="4" w:space="0"/>
            </w:tcBorders>
            <w:shd w:val="clear" w:color="auto" w:fill="FFFFFF" w:themeFill="background1"/>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922"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44"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284"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93"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58"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54"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902"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53" w:type="pct"/>
            <w:tcBorders>
              <w:top w:val="nil"/>
              <w:left w:val="nil"/>
              <w:bottom w:val="nil"/>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nil"/>
              <w:bottom w:val="single" w:color="808080" w:sz="4" w:space="0"/>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部门：长沙市开福区人民检察院</w:t>
            </w:r>
          </w:p>
        </w:tc>
        <w:tc>
          <w:tcPr>
            <w:tcW w:w="922"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44"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284"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93" w:type="pct"/>
            <w:tcBorders>
              <w:top w:val="nil"/>
              <w:left w:val="nil"/>
              <w:bottom w:val="single" w:color="808080" w:sz="4" w:space="0"/>
              <w:right w:val="nil"/>
            </w:tcBorders>
            <w:shd w:val="clear" w:color="auto" w:fill="FFFFFF" w:themeFill="background1"/>
            <w:noWrap/>
            <w:vAlign w:val="center"/>
          </w:tcPr>
          <w:p>
            <w:pPr>
              <w:jc w:val="center"/>
              <w:rPr>
                <w:rFonts w:hint="eastAsia" w:ascii="宋体" w:hAnsi="宋体" w:eastAsia="宋体" w:cs="宋体"/>
                <w:i w:val="0"/>
                <w:iCs w:val="0"/>
                <w:color w:val="000000"/>
                <w:sz w:val="22"/>
                <w:szCs w:val="22"/>
                <w:u w:val="none"/>
              </w:rPr>
            </w:pPr>
          </w:p>
        </w:tc>
        <w:tc>
          <w:tcPr>
            <w:tcW w:w="358"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54"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902"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53" w:type="pct"/>
            <w:tcBorders>
              <w:top w:val="nil"/>
              <w:left w:val="nil"/>
              <w:bottom w:val="single" w:color="808080" w:sz="4" w:space="0"/>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951"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3048" w:type="pct"/>
            <w:gridSpan w:val="6"/>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922"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444"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284"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593"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58"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354"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科目编码</w:t>
            </w:r>
          </w:p>
        </w:tc>
        <w:tc>
          <w:tcPr>
            <w:tcW w:w="902"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553"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92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444"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284"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59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58"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54"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90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55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1,550.44</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490.00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279.00</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30701</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国内债务付息</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244.00</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30202</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30702</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国外债务付息</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奖金</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312.00</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30203</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咨询费</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30106</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伙食补助费</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30204</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31001</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房屋建筑物购建</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30205</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水费</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31002</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82.56</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30206</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电费</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31003</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专用设备购置</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30109</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30207</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31005</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基础设施建设</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81.50</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31006</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大型修缮</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30111</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36.12</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30209</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31007</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信息网络及软件购置更新</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12.91</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30211</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31008</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物资储备</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185.00</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30212</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31009</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土地补偿</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30114</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30213</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31010</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安置补助</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30199</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317.35</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30214</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31011</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地上附着物和青苗补偿</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30215</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31012</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拆迁补偿</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30301</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30216</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31013</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30302</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30217</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31019</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其他交通工具购置</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30303</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退职（役）费</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30218</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31021</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文物和陈列品购置</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30224</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31022</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无形资产购置</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30225</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31099</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其他资本性支出</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30306</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救济费</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45.75</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30307</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医疗费补助</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30227</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39906</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赠与</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30308</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助学金</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39907</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国家赔偿费用支出</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30309</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奖励金</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39908</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对民间非营利组织和群众性自治组织补贴</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30310</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个人农业生产补贴</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39999</w:t>
            </w:r>
          </w:p>
        </w:tc>
        <w:tc>
          <w:tcPr>
            <w:tcW w:w="9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30311</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代缴社会保险费</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902"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55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30399</w:t>
            </w:r>
          </w:p>
        </w:tc>
        <w:tc>
          <w:tcPr>
            <w:tcW w:w="92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30240</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902"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55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8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922"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44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2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5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35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125.65</w:t>
            </w:r>
          </w:p>
        </w:tc>
        <w:tc>
          <w:tcPr>
            <w:tcW w:w="354"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902"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55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06" w:type="pct"/>
            <w:gridSpan w:val="2"/>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44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1,557.64</w:t>
            </w:r>
          </w:p>
        </w:tc>
        <w:tc>
          <w:tcPr>
            <w:tcW w:w="2495" w:type="pct"/>
            <w:gridSpan w:val="5"/>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55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000" w:type="pct"/>
            <w:gridSpan w:val="9"/>
            <w:tcBorders>
              <w:top w:val="nil"/>
              <w:left w:val="nil"/>
              <w:bottom w:val="nil"/>
              <w:right w:val="single" w:color="80808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r>
    </w:tbl>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p>
      <w:pPr>
        <w:widowControl/>
        <w:jc w:val="left"/>
        <w:rPr>
          <w:rFonts w:ascii="宋体" w:eastAsia="宋体" w:cs="宋体"/>
          <w:kern w:val="0"/>
          <w:sz w:val="24"/>
          <w:szCs w:val="24"/>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260"/>
        <w:gridCol w:w="2145"/>
        <w:gridCol w:w="1065"/>
        <w:gridCol w:w="1710"/>
        <w:gridCol w:w="1830"/>
        <w:gridCol w:w="1350"/>
        <w:gridCol w:w="675"/>
        <w:gridCol w:w="945"/>
        <w:gridCol w:w="990"/>
        <w:gridCol w:w="870"/>
        <w:gridCol w:w="1015"/>
        <w:gridCol w:w="1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403"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033" w:type="pct"/>
            <w:gridSpan w:val="10"/>
            <w:tcBorders>
              <w:top w:val="nil"/>
              <w:left w:val="nil"/>
              <w:bottom w:val="nil"/>
              <w:right w:val="nil"/>
            </w:tcBorders>
            <w:shd w:val="clear" w:color="auto" w:fill="FFFFFF" w:themeFill="background1"/>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一般公共预算财政拨款“三公”经费支出决算表</w:t>
            </w:r>
          </w:p>
        </w:tc>
        <w:tc>
          <w:tcPr>
            <w:tcW w:w="563" w:type="pct"/>
            <w:tcBorders>
              <w:top w:val="nil"/>
              <w:left w:val="nil"/>
              <w:bottom w:val="nil"/>
              <w:right w:val="single" w:color="80808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03" w:type="pct"/>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c>
          <w:tcPr>
            <w:tcW w:w="686"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41"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47"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86"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32"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216"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02"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17"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278"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25"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63" w:type="pct"/>
            <w:tcBorders>
              <w:top w:val="nil"/>
              <w:left w:val="nil"/>
              <w:bottom w:val="nil"/>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090" w:type="pct"/>
            <w:gridSpan w:val="2"/>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部门：长沙市开福区人民检察院</w:t>
            </w:r>
          </w:p>
        </w:tc>
        <w:tc>
          <w:tcPr>
            <w:tcW w:w="341"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47"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86"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951" w:type="pct"/>
            <w:gridSpan w:val="3"/>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color w:val="000000"/>
                <w:kern w:val="0"/>
                <w:sz w:val="22"/>
                <w:szCs w:val="22"/>
                <w:lang w:val="en-US" w:eastAsia="zh-CN"/>
              </w:rPr>
              <w:t xml:space="preserve"> 2021年度  </w:t>
            </w:r>
          </w:p>
        </w:tc>
        <w:tc>
          <w:tcPr>
            <w:tcW w:w="317"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278"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25"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63" w:type="pct"/>
            <w:tcBorders>
              <w:top w:val="nil"/>
              <w:left w:val="nil"/>
              <w:bottom w:val="single" w:color="808080" w:sz="4" w:space="0"/>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997" w:type="pct"/>
            <w:gridSpan w:val="6"/>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2002" w:type="pct"/>
            <w:gridSpan w:val="6"/>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03" w:type="pct"/>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86"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1474" w:type="pct"/>
            <w:gridSpan w:val="3"/>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432"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c>
          <w:tcPr>
            <w:tcW w:w="216"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02"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w:t>
            </w:r>
          </w:p>
        </w:tc>
        <w:tc>
          <w:tcPr>
            <w:tcW w:w="920" w:type="pct"/>
            <w:gridSpan w:val="3"/>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563"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134" w:hRule="atLeast"/>
        </w:trPr>
        <w:tc>
          <w:tcPr>
            <w:tcW w:w="403" w:type="pct"/>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686"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41"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47"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586"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43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216"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02"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317"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78"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公务用车购置费</w:t>
            </w:r>
          </w:p>
        </w:tc>
        <w:tc>
          <w:tcPr>
            <w:tcW w:w="325"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公务用车运行费</w:t>
            </w:r>
          </w:p>
        </w:tc>
        <w:tc>
          <w:tcPr>
            <w:tcW w:w="56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03" w:type="pc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86"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41"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47"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86"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2"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16"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02"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17"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78"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25"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563" w:type="pc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403" w:type="pct"/>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c>
          <w:tcPr>
            <w:tcW w:w="6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4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5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8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43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21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26.00</w:t>
            </w:r>
          </w:p>
        </w:tc>
        <w:tc>
          <w:tcPr>
            <w:tcW w:w="302"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1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278"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325"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56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FFFFFF" w:themeFill="background1"/>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left"/>
        <w:rPr>
          <w:rFonts w:ascii="宋体" w:eastAsia="宋体" w:cs="宋体"/>
          <w:kern w:val="0"/>
          <w:sz w:val="24"/>
          <w:szCs w:val="24"/>
        </w:rPr>
      </w:pPr>
      <w:r>
        <w:rPr>
          <w:rFonts w:ascii="宋体" w:eastAsia="宋体" w:cs="宋体"/>
          <w:kern w:val="0"/>
          <w:sz w:val="24"/>
          <w:szCs w:val="24"/>
        </w:rPr>
        <w:br w:type="page"/>
      </w:r>
    </w:p>
    <w:tbl>
      <w:tblPr>
        <w:tblStyle w:val="6"/>
        <w:tblpPr w:leftFromText="180" w:rightFromText="180" w:vertAnchor="text" w:horzAnchor="page" w:tblpX="796" w:tblpY="311"/>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3047"/>
        <w:gridCol w:w="240"/>
        <w:gridCol w:w="240"/>
        <w:gridCol w:w="1993"/>
        <w:gridCol w:w="2085"/>
        <w:gridCol w:w="1710"/>
        <w:gridCol w:w="1605"/>
        <w:gridCol w:w="1785"/>
        <w:gridCol w:w="1395"/>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75" w:hRule="atLeast"/>
        </w:trPr>
        <w:tc>
          <w:tcPr>
            <w:tcW w:w="975"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6"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6"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2367" w:type="pct"/>
            <w:gridSpan w:val="4"/>
            <w:tcBorders>
              <w:top w:val="nil"/>
              <w:left w:val="nil"/>
              <w:bottom w:val="nil"/>
              <w:right w:val="nil"/>
            </w:tcBorders>
            <w:shd w:val="clear" w:color="auto" w:fill="FFFFFF" w:themeFill="background1"/>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政府性基金预算财政拨款收入支出决算表</w:t>
            </w:r>
          </w:p>
        </w:tc>
        <w:tc>
          <w:tcPr>
            <w:tcW w:w="571"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46"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84" w:type="pct"/>
            <w:tcBorders>
              <w:top w:val="nil"/>
              <w:left w:val="nil"/>
              <w:bottom w:val="nil"/>
              <w:right w:val="single" w:color="808080" w:sz="4" w:space="0"/>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975"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6"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6"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638"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667"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47"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13"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71"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46"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84" w:type="pct"/>
            <w:tcBorders>
              <w:top w:val="nil"/>
              <w:left w:val="nil"/>
              <w:bottom w:val="nil"/>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29" w:type="pct"/>
            <w:gridSpan w:val="3"/>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部门：长沙市开福区人民检察院</w:t>
            </w:r>
          </w:p>
        </w:tc>
        <w:tc>
          <w:tcPr>
            <w:tcW w:w="638"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667" w:type="pct"/>
            <w:tcBorders>
              <w:top w:val="nil"/>
              <w:left w:val="nil"/>
              <w:bottom w:val="single" w:color="808080" w:sz="4" w:space="0"/>
              <w:right w:val="nil"/>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547"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13"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571"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46"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484" w:type="pct"/>
            <w:tcBorders>
              <w:top w:val="nil"/>
              <w:left w:val="nil"/>
              <w:bottom w:val="single" w:color="808080" w:sz="4" w:space="0"/>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67"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667"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年初结转和结余</w:t>
            </w:r>
          </w:p>
        </w:tc>
        <w:tc>
          <w:tcPr>
            <w:tcW w:w="547"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w:t>
            </w:r>
          </w:p>
        </w:tc>
        <w:tc>
          <w:tcPr>
            <w:tcW w:w="1532" w:type="pct"/>
            <w:gridSpan w:val="3"/>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c>
          <w:tcPr>
            <w:tcW w:w="484"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129" w:type="pct"/>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638" w:type="pct"/>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667"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547"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513"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571"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446"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484"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9"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638"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667"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547"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51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571"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446"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484"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29"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638"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667"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547"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51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571"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446"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484"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67"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66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4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1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71"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46"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4"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67"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6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0"/>
                <w:szCs w:val="20"/>
                <w:u w:val="none"/>
              </w:rPr>
            </w:pPr>
          </w:p>
        </w:tc>
        <w:tc>
          <w:tcPr>
            <w:tcW w:w="54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0"/>
                <w:szCs w:val="20"/>
                <w:u w:val="none"/>
              </w:rPr>
            </w:pPr>
          </w:p>
        </w:tc>
        <w:tc>
          <w:tcPr>
            <w:tcW w:w="571"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0"/>
                <w:szCs w:val="20"/>
                <w:u w:val="none"/>
              </w:rPr>
            </w:pPr>
          </w:p>
        </w:tc>
        <w:tc>
          <w:tcPr>
            <w:tcW w:w="44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0"/>
                <w:szCs w:val="20"/>
                <w:u w:val="none"/>
              </w:rPr>
            </w:pPr>
          </w:p>
        </w:tc>
        <w:tc>
          <w:tcPr>
            <w:tcW w:w="48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29"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638"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66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54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51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571"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446"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484"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themeFill="background1"/>
            <w:noWrap/>
            <w:vAlign w:val="center"/>
          </w:tcPr>
          <w:p>
            <w:pPr>
              <w:widowControl/>
              <w:ind w:firstLine="400" w:firstLineChars="200"/>
              <w:jc w:val="left"/>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注：本表反映部门本年度政府性基金预算财政拨款收入、支出及结转和结余情况。2021年度本部门没有政府性基金收入，也没有使用政府性基金安排的支出，故本表无数据。</w:t>
            </w:r>
            <w:r>
              <w:rPr>
                <w:rFonts w:hint="eastAsia" w:ascii="宋体" w:hAnsi="宋体" w:eastAsia="宋体" w:cs="宋体"/>
                <w:i w:val="0"/>
                <w:iCs w:val="0"/>
                <w:color w:val="000000"/>
                <w:kern w:val="0"/>
                <w:sz w:val="20"/>
                <w:szCs w:val="20"/>
                <w:u w:val="none"/>
                <w:lang w:val="en-US" w:eastAsia="zh-CN" w:bidi="ar"/>
              </w:rPr>
              <w:br w:type="page"/>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r>
    </w:tbl>
    <w:p>
      <w:pPr>
        <w:autoSpaceDE w:val="0"/>
        <w:autoSpaceDN w:val="0"/>
        <w:adjustRightInd w:val="0"/>
        <w:ind w:left="315" w:leftChars="150"/>
        <w:jc w:val="left"/>
        <w:rPr>
          <w:rFonts w:ascii="宋体" w:eastAsia="宋体" w:cs="宋体"/>
          <w:kern w:val="0"/>
          <w:sz w:val="24"/>
          <w:szCs w:val="24"/>
        </w:rPr>
      </w:pPr>
    </w:p>
    <w:p>
      <w:pPr>
        <w:widowControl/>
        <w:jc w:val="left"/>
        <w:rPr>
          <w:rFonts w:ascii="黑体" w:hAnsi="黑体" w:eastAsia="黑体"/>
          <w:szCs w:val="21"/>
        </w:rPr>
      </w:pPr>
      <w:r>
        <w:rPr>
          <w:rFonts w:ascii="黑体" w:hAnsi="黑体" w:eastAsia="黑体"/>
          <w:szCs w:val="21"/>
        </w:rPr>
        <w:br w:type="page"/>
      </w:r>
    </w:p>
    <w:tbl>
      <w:tblPr>
        <w:tblStyle w:val="6"/>
        <w:tblW w:w="4615" w:type="pct"/>
        <w:tblInd w:w="5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2231"/>
        <w:gridCol w:w="816"/>
        <w:gridCol w:w="882"/>
        <w:gridCol w:w="3675"/>
        <w:gridCol w:w="2248"/>
        <w:gridCol w:w="2557"/>
        <w:gridCol w:w="20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723" w:hRule="atLeast"/>
        </w:trPr>
        <w:tc>
          <w:tcPr>
            <w:tcW w:w="5000" w:type="pct"/>
            <w:gridSpan w:val="7"/>
            <w:tcBorders>
              <w:top w:val="nil"/>
              <w:left w:val="nil"/>
              <w:bottom w:val="nil"/>
              <w:right w:val="single" w:color="808080" w:sz="4" w:space="0"/>
            </w:tcBorders>
            <w:shd w:val="clear" w:color="auto" w:fill="FFFFFF" w:themeFill="background1"/>
            <w:noWrap/>
            <w:vAlign w:val="center"/>
          </w:tcPr>
          <w:p>
            <w:pPr>
              <w:jc w:val="center"/>
              <w:rPr>
                <w:rFonts w:hint="eastAsia" w:ascii="宋体" w:hAnsi="宋体" w:eastAsia="宋体" w:cs="宋体"/>
                <w:i w:val="0"/>
                <w:iCs w:val="0"/>
                <w:color w:val="000000"/>
                <w:sz w:val="18"/>
                <w:szCs w:val="18"/>
                <w:u w:val="none"/>
              </w:rPr>
            </w:pPr>
            <w:r>
              <w:rPr>
                <w:rFonts w:hint="eastAsia" w:ascii="黑体" w:hAnsi="宋体" w:eastAsia="黑体" w:cs="黑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774"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283"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305"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1274"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780"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887" w:type="pct"/>
            <w:tcBorders>
              <w:top w:val="nil"/>
              <w:left w:val="nil"/>
              <w:bottom w:val="nil"/>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693" w:type="pct"/>
            <w:tcBorders>
              <w:top w:val="nil"/>
              <w:left w:val="nil"/>
              <w:bottom w:val="nil"/>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363" w:type="pct"/>
            <w:gridSpan w:val="3"/>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部门：长沙市开福区人民检察院</w:t>
            </w:r>
          </w:p>
        </w:tc>
        <w:tc>
          <w:tcPr>
            <w:tcW w:w="1274" w:type="pct"/>
            <w:tcBorders>
              <w:top w:val="nil"/>
              <w:left w:val="nil"/>
              <w:bottom w:val="single" w:color="808080" w:sz="4" w:space="0"/>
              <w:right w:val="nil"/>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2021年度</w:t>
            </w:r>
          </w:p>
        </w:tc>
        <w:tc>
          <w:tcPr>
            <w:tcW w:w="780"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887" w:type="pct"/>
            <w:tcBorders>
              <w:top w:val="nil"/>
              <w:left w:val="nil"/>
              <w:bottom w:val="single" w:color="808080" w:sz="4" w:space="0"/>
              <w:right w:val="nil"/>
            </w:tcBorders>
            <w:shd w:val="clear" w:color="auto" w:fill="FFFFFF" w:themeFill="background1"/>
            <w:noWrap/>
            <w:vAlign w:val="center"/>
          </w:tcPr>
          <w:p>
            <w:pPr>
              <w:jc w:val="left"/>
              <w:rPr>
                <w:rFonts w:hint="eastAsia" w:ascii="宋体" w:hAnsi="宋体" w:eastAsia="宋体" w:cs="宋体"/>
                <w:i w:val="0"/>
                <w:iCs w:val="0"/>
                <w:color w:val="000000"/>
                <w:sz w:val="18"/>
                <w:szCs w:val="18"/>
                <w:u w:val="none"/>
              </w:rPr>
            </w:pPr>
          </w:p>
        </w:tc>
        <w:tc>
          <w:tcPr>
            <w:tcW w:w="693" w:type="pct"/>
            <w:tcBorders>
              <w:top w:val="nil"/>
              <w:left w:val="nil"/>
              <w:bottom w:val="single" w:color="808080" w:sz="4" w:space="0"/>
              <w:right w:val="single" w:color="808080" w:sz="4" w:space="0"/>
            </w:tcBorders>
            <w:shd w:val="clear" w:color="auto" w:fill="FFFFFF" w:themeFill="background1"/>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638"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2361" w:type="pct"/>
            <w:gridSpan w:val="3"/>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363" w:type="pct"/>
            <w:gridSpan w:val="3"/>
            <w:vMerge w:val="restart"/>
            <w:tcBorders>
              <w:top w:val="nil"/>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274" w:type="pct"/>
            <w:vMerge w:val="restar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780"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87"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693" w:type="pct"/>
            <w:vMerge w:val="restart"/>
            <w:tcBorders>
              <w:top w:val="nil"/>
              <w:left w:val="nil"/>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363"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1274"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780"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887"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69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363" w:type="pct"/>
            <w:gridSpan w:val="3"/>
            <w:vMerge w:val="continue"/>
            <w:tcBorders>
              <w:top w:val="nil"/>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1274" w:type="pct"/>
            <w:vMerge w:val="continue"/>
            <w:tcBorders>
              <w:top w:val="nil"/>
              <w:left w:val="nil"/>
              <w:bottom w:val="single" w:color="000000" w:sz="4" w:space="0"/>
              <w:right w:val="single" w:color="000000" w:sz="4" w:space="0"/>
            </w:tcBorders>
            <w:shd w:val="clear" w:color="auto" w:fill="FFFFFF" w:themeFill="background1"/>
            <w:noWrap/>
            <w:vAlign w:val="center"/>
          </w:tcPr>
          <w:p>
            <w:pPr>
              <w:jc w:val="center"/>
              <w:rPr>
                <w:rFonts w:hint="eastAsia" w:ascii="宋体" w:hAnsi="宋体" w:eastAsia="宋体" w:cs="宋体"/>
                <w:i w:val="0"/>
                <w:iCs w:val="0"/>
                <w:color w:val="000000"/>
                <w:sz w:val="20"/>
                <w:szCs w:val="20"/>
                <w:u w:val="none"/>
              </w:rPr>
            </w:pPr>
          </w:p>
        </w:tc>
        <w:tc>
          <w:tcPr>
            <w:tcW w:w="780"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887"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c>
          <w:tcPr>
            <w:tcW w:w="693" w:type="pct"/>
            <w:vMerge w:val="continue"/>
            <w:tcBorders>
              <w:top w:val="nil"/>
              <w:left w:val="nil"/>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638"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780"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87"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93" w:type="pct"/>
            <w:tcBorders>
              <w:top w:val="nil"/>
              <w:left w:val="nil"/>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2638" w:type="pct"/>
            <w:gridSpan w:val="4"/>
            <w:tcBorders>
              <w:top w:val="nil"/>
              <w:left w:val="single" w:color="000000" w:sz="4" w:space="0"/>
              <w:bottom w:val="single" w:color="000000" w:sz="4" w:space="0"/>
              <w:right w:val="single" w:color="000000" w:sz="4" w:space="0"/>
            </w:tcBorders>
            <w:shd w:val="clear" w:color="auto" w:fill="FFFFFF" w:themeFill="background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8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0"/>
                <w:szCs w:val="20"/>
                <w:u w:val="none"/>
              </w:rPr>
            </w:pPr>
          </w:p>
        </w:tc>
        <w:tc>
          <w:tcPr>
            <w:tcW w:w="88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0"/>
                <w:szCs w:val="20"/>
                <w:u w:val="none"/>
              </w:rPr>
            </w:pPr>
          </w:p>
        </w:tc>
        <w:tc>
          <w:tcPr>
            <w:tcW w:w="69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1363" w:type="pct"/>
            <w:gridSpan w:val="3"/>
            <w:tcBorders>
              <w:top w:val="nil"/>
              <w:left w:val="single" w:color="000000" w:sz="4" w:space="0"/>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1274" w:type="pct"/>
            <w:tcBorders>
              <w:top w:val="nil"/>
              <w:left w:val="nil"/>
              <w:bottom w:val="single" w:color="000000" w:sz="4" w:space="0"/>
              <w:right w:val="single" w:color="000000" w:sz="4" w:space="0"/>
            </w:tcBorders>
            <w:shd w:val="clear" w:color="auto" w:fill="FFFFFF" w:themeFill="background1"/>
            <w:noWrap/>
            <w:vAlign w:val="center"/>
          </w:tcPr>
          <w:p>
            <w:pPr>
              <w:jc w:val="left"/>
              <w:rPr>
                <w:rFonts w:hint="eastAsia" w:ascii="宋体" w:hAnsi="宋体" w:eastAsia="宋体" w:cs="宋体"/>
                <w:i w:val="0"/>
                <w:iCs w:val="0"/>
                <w:color w:val="000000"/>
                <w:sz w:val="20"/>
                <w:szCs w:val="20"/>
                <w:u w:val="none"/>
              </w:rPr>
            </w:pPr>
          </w:p>
        </w:tc>
        <w:tc>
          <w:tcPr>
            <w:tcW w:w="780"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887"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c>
          <w:tcPr>
            <w:tcW w:w="693" w:type="pct"/>
            <w:tcBorders>
              <w:top w:val="nil"/>
              <w:left w:val="nil"/>
              <w:bottom w:val="single" w:color="000000" w:sz="4" w:space="0"/>
              <w:right w:val="single" w:color="000000" w:sz="4" w:space="0"/>
            </w:tcBorders>
            <w:shd w:val="clear" w:color="auto" w:fill="FFFFFF" w:themeFill="background1"/>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shd w:val="clear" w:color="auto" w:fill="FFFFFF" w:themeFill="background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注：本表反映部门本年度国有资本经营预算财政拨款支出情况。2021年度本部门无国有资本经营预算收支，因此本表无数据。</w:t>
            </w:r>
          </w:p>
        </w:tc>
      </w:tr>
    </w:tbl>
    <w:p>
      <w:pPr>
        <w:pStyle w:val="11"/>
        <w:rPr>
          <w:sz w:val="72"/>
          <w:szCs w:val="72"/>
        </w:rPr>
        <w:sectPr>
          <w:pgSz w:w="16838" w:h="11906" w:orient="landscape"/>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一、收入支出决算总体情况说明</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3598.1</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87.63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上年项目经费结转，办案经费增加</w:t>
      </w:r>
      <w:r>
        <w:rPr>
          <w:rFonts w:hint="eastAsia" w:asciiTheme="minorEastAsia" w:hAnsiTheme="minorEastAsia" w:eastAsiaTheme="minorEastAsia"/>
          <w:sz w:val="32"/>
          <w:szCs w:val="32"/>
          <w:lang w:val="en-US" w:eastAsia="zh-CN"/>
        </w:rPr>
        <w:t>、检察设备购置及大型修缮款等项目</w:t>
      </w:r>
      <w:r>
        <w:rPr>
          <w:rFonts w:hint="eastAsia" w:asciiTheme="minorEastAsia" w:hAnsiTheme="minorEastAsia" w:eastAsiaTheme="minorEastAsia"/>
          <w:sz w:val="32"/>
          <w:szCs w:val="32"/>
          <w:lang w:eastAsia="zh-CN"/>
        </w:rPr>
        <w:t>增加。</w:t>
      </w:r>
    </w:p>
    <w:p>
      <w:pPr>
        <w:pStyle w:val="11"/>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二、收入决算情况说明</w:t>
      </w:r>
    </w:p>
    <w:p>
      <w:pPr>
        <w:pStyle w:val="11"/>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2021年度收入合计</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3531.95</w:t>
      </w:r>
      <w:r>
        <w:rPr>
          <w:rFonts w:hint="eastAsia" w:asciiTheme="minorEastAsia" w:hAnsiTheme="minorEastAsia" w:eastAsiaTheme="minorEastAsia"/>
          <w:color w:val="000000" w:themeColor="text1"/>
          <w:sz w:val="32"/>
          <w:szCs w:val="32"/>
          <w14:textFill>
            <w14:solidFill>
              <w14:schemeClr w14:val="tx1"/>
            </w14:solidFill>
          </w14:textFill>
        </w:rPr>
        <w:t>万元，其中：财政拨款收入</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2219.99</w:t>
      </w:r>
      <w:r>
        <w:rPr>
          <w:rFonts w:hint="eastAsia" w:asciiTheme="minorEastAsia" w:hAnsiTheme="minorEastAsia" w:eastAsiaTheme="minorEastAsia"/>
          <w:color w:val="000000" w:themeColor="text1"/>
          <w:sz w:val="32"/>
          <w:szCs w:val="32"/>
          <w14:textFill>
            <w14:solidFill>
              <w14:schemeClr w14:val="tx1"/>
            </w14:solidFill>
          </w14:textFill>
        </w:rPr>
        <w:t>万元，占</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62.9</w:t>
      </w:r>
      <w:r>
        <w:rPr>
          <w:rFonts w:hint="eastAsia" w:asciiTheme="minorEastAsia" w:hAnsiTheme="minorEastAsia" w:eastAsiaTheme="minorEastAsia"/>
          <w:color w:val="000000" w:themeColor="text1"/>
          <w:sz w:val="32"/>
          <w:szCs w:val="32"/>
          <w14:textFill>
            <w14:solidFill>
              <w14:schemeClr w14:val="tx1"/>
            </w14:solidFill>
          </w14:textFill>
        </w:rPr>
        <w:t>%；其他收入</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1311.96</w:t>
      </w:r>
      <w:r>
        <w:rPr>
          <w:rFonts w:hint="eastAsia" w:asciiTheme="minorEastAsia" w:hAnsiTheme="minorEastAsia" w:eastAsiaTheme="minorEastAsia"/>
          <w:color w:val="000000" w:themeColor="text1"/>
          <w:sz w:val="32"/>
          <w:szCs w:val="32"/>
          <w14:textFill>
            <w14:solidFill>
              <w14:schemeClr w14:val="tx1"/>
            </w14:solidFill>
          </w14:textFill>
        </w:rPr>
        <w:t>万元，占</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37.1</w:t>
      </w:r>
      <w:r>
        <w:rPr>
          <w:rFonts w:hint="eastAsia" w:asciiTheme="minorEastAsia" w:hAnsiTheme="minorEastAsia" w:eastAsiaTheme="minorEastAsia"/>
          <w:color w:val="000000" w:themeColor="text1"/>
          <w:sz w:val="32"/>
          <w:szCs w:val="32"/>
          <w14:textFill>
            <w14:solidFill>
              <w14:schemeClr w14:val="tx1"/>
            </w14:solidFill>
          </w14:textFill>
        </w:rPr>
        <w:t>%。</w:t>
      </w:r>
    </w:p>
    <w:p>
      <w:pPr>
        <w:pStyle w:val="11"/>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三、支出决算情况说明</w:t>
      </w:r>
    </w:p>
    <w:p>
      <w:pPr>
        <w:pStyle w:val="11"/>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2021年度支出合计</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3544.77</w:t>
      </w:r>
      <w:r>
        <w:rPr>
          <w:rFonts w:hint="eastAsia" w:asciiTheme="minorEastAsia" w:hAnsiTheme="minorEastAsia" w:eastAsiaTheme="minorEastAsia"/>
          <w:color w:val="000000" w:themeColor="text1"/>
          <w:sz w:val="32"/>
          <w:szCs w:val="32"/>
          <w14:textFill>
            <w14:solidFill>
              <w14:schemeClr w14:val="tx1"/>
            </w14:solidFill>
          </w14:textFill>
        </w:rPr>
        <w:t>万元，其中：基本支出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3356.38</w:t>
      </w:r>
      <w:r>
        <w:rPr>
          <w:rFonts w:hint="eastAsia" w:asciiTheme="minorEastAsia" w:hAnsiTheme="minorEastAsia" w:eastAsiaTheme="minorEastAsia"/>
          <w:color w:val="000000" w:themeColor="text1"/>
          <w:sz w:val="32"/>
          <w:szCs w:val="32"/>
          <w14:textFill>
            <w14:solidFill>
              <w14:schemeClr w14:val="tx1"/>
            </w14:solidFill>
          </w14:textFill>
        </w:rPr>
        <w:t>万元，占</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94.7</w:t>
      </w:r>
      <w:r>
        <w:rPr>
          <w:rFonts w:hint="eastAsia" w:asciiTheme="minorEastAsia" w:hAnsiTheme="minorEastAsia" w:eastAsiaTheme="minorEastAsia"/>
          <w:color w:val="000000" w:themeColor="text1"/>
          <w:sz w:val="32"/>
          <w:szCs w:val="32"/>
          <w14:textFill>
            <w14:solidFill>
              <w14:schemeClr w14:val="tx1"/>
            </w14:solidFill>
          </w14:textFill>
        </w:rPr>
        <w:t>%；项目支出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188.39</w:t>
      </w:r>
      <w:r>
        <w:rPr>
          <w:rFonts w:hint="eastAsia" w:asciiTheme="minorEastAsia" w:hAnsiTheme="minorEastAsia" w:eastAsiaTheme="minorEastAsia"/>
          <w:color w:val="000000" w:themeColor="text1"/>
          <w:sz w:val="32"/>
          <w:szCs w:val="32"/>
          <w14:textFill>
            <w14:solidFill>
              <w14:schemeClr w14:val="tx1"/>
            </w14:solidFill>
          </w14:textFill>
        </w:rPr>
        <w:t>万元，占</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5.3</w:t>
      </w:r>
      <w:r>
        <w:rPr>
          <w:rFonts w:hint="eastAsia" w:asciiTheme="minorEastAsia" w:hAnsiTheme="minorEastAsia" w:eastAsiaTheme="minorEastAsia"/>
          <w:color w:val="000000" w:themeColor="text1"/>
          <w:sz w:val="32"/>
          <w:szCs w:val="32"/>
          <w14:textFill>
            <w14:solidFill>
              <w14:schemeClr w14:val="tx1"/>
            </w14:solidFill>
          </w14:textFill>
        </w:rPr>
        <w:t>%。</w:t>
      </w:r>
    </w:p>
    <w:p>
      <w:pPr>
        <w:pStyle w:val="11"/>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四、财政拨款收入支出决算总体情况说明</w:t>
      </w:r>
    </w:p>
    <w:p>
      <w:pPr>
        <w:pStyle w:val="11"/>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 xml:space="preserve">    2021年度财政拨款收、支总计</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2219.99</w:t>
      </w:r>
      <w:r>
        <w:rPr>
          <w:rFonts w:hint="eastAsia" w:asciiTheme="minorEastAsia" w:hAnsiTheme="minorEastAsia" w:eastAsiaTheme="minorEastAsia"/>
          <w:color w:val="000000" w:themeColor="text1"/>
          <w:sz w:val="32"/>
          <w:szCs w:val="32"/>
          <w14:textFill>
            <w14:solidFill>
              <w14:schemeClr w14:val="tx1"/>
            </w14:solidFill>
          </w14:textFill>
        </w:rPr>
        <w:t>万元，与上年相比，增加</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89.2</w:t>
      </w:r>
      <w:r>
        <w:rPr>
          <w:rFonts w:hint="eastAsia" w:asciiTheme="minorEastAsia" w:hAnsiTheme="minorEastAsia" w:eastAsiaTheme="minorEastAsia"/>
          <w:color w:val="000000" w:themeColor="text1"/>
          <w:sz w:val="32"/>
          <w:szCs w:val="32"/>
          <w14:textFill>
            <w14:solidFill>
              <w14:schemeClr w14:val="tx1"/>
            </w14:solidFill>
          </w14:textFill>
        </w:rPr>
        <w:t>万元,增长</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4.2</w:t>
      </w:r>
      <w:r>
        <w:rPr>
          <w:rFonts w:hint="eastAsia" w:asciiTheme="minorEastAsia" w:hAnsiTheme="minorEastAsia" w:eastAsiaTheme="minorEastAsia"/>
          <w:color w:val="000000" w:themeColor="text1"/>
          <w:sz w:val="32"/>
          <w:szCs w:val="32"/>
          <w14:textFill>
            <w14:solidFill>
              <w14:schemeClr w14:val="tx1"/>
            </w14:solidFill>
          </w14:textFill>
        </w:rPr>
        <w:t>%，主要是因为</w:t>
      </w:r>
      <w:r>
        <w:rPr>
          <w:rFonts w:hint="eastAsia" w:asciiTheme="minorEastAsia" w:hAnsiTheme="minorEastAsia" w:eastAsiaTheme="minorEastAsia"/>
          <w:color w:val="000000" w:themeColor="text1"/>
          <w:sz w:val="32"/>
          <w:szCs w:val="32"/>
          <w:lang w:eastAsia="zh-CN"/>
          <w14:textFill>
            <w14:solidFill>
              <w14:schemeClr w14:val="tx1"/>
            </w14:solidFill>
          </w14:textFill>
        </w:rPr>
        <w:t>办案经费增加</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、检察设备购置及大型修缮款等项目</w:t>
      </w:r>
      <w:r>
        <w:rPr>
          <w:rFonts w:hint="eastAsia" w:asciiTheme="minorEastAsia" w:hAnsiTheme="minorEastAsia" w:eastAsiaTheme="minorEastAsia"/>
          <w:color w:val="000000" w:themeColor="text1"/>
          <w:sz w:val="32"/>
          <w:szCs w:val="32"/>
          <w:lang w:eastAsia="zh-CN"/>
          <w14:textFill>
            <w14:solidFill>
              <w14:schemeClr w14:val="tx1"/>
            </w14:solidFill>
          </w14:textFill>
        </w:rPr>
        <w:t>增加导致财政拨款收支增加。</w:t>
      </w:r>
    </w:p>
    <w:p>
      <w:pPr>
        <w:pStyle w:val="11"/>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五、一般公共预算财政拨款支出决算情况说明</w:t>
      </w:r>
    </w:p>
    <w:p>
      <w:pPr>
        <w:pStyle w:val="11"/>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（一）财政拨款支出决算总体情况</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2021年度财政拨款支出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2211.28</w:t>
      </w:r>
      <w:r>
        <w:rPr>
          <w:rFonts w:hint="eastAsia" w:asciiTheme="minorEastAsia" w:hAnsiTheme="minorEastAsia" w:eastAsiaTheme="minorEastAsia"/>
          <w:color w:val="000000" w:themeColor="text1"/>
          <w:sz w:val="32"/>
          <w:szCs w:val="32"/>
          <w14:textFill>
            <w14:solidFill>
              <w14:schemeClr w14:val="tx1"/>
            </w14:solidFill>
          </w14:textFill>
        </w:rPr>
        <w:t>万元，占本年支出合计的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62.4</w:t>
      </w:r>
      <w:r>
        <w:rPr>
          <w:rFonts w:hint="eastAsia" w:asciiTheme="minorEastAsia" w:hAnsiTheme="minorEastAsia" w:eastAsiaTheme="minorEastAsia"/>
          <w:color w:val="000000" w:themeColor="text1"/>
          <w:sz w:val="32"/>
          <w:szCs w:val="32"/>
          <w14:textFill>
            <w14:solidFill>
              <w14:schemeClr w14:val="tx1"/>
            </w14:solidFill>
          </w14:textFill>
        </w:rPr>
        <w:t>%，与上年相比，财政拨款支出增加</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122.11</w:t>
      </w:r>
      <w:r>
        <w:rPr>
          <w:rFonts w:hint="eastAsia" w:asciiTheme="minorEastAsia" w:hAnsiTheme="minorEastAsia" w:eastAsiaTheme="minorEastAsia"/>
          <w:color w:val="000000" w:themeColor="text1"/>
          <w:sz w:val="32"/>
          <w:szCs w:val="32"/>
          <w14:textFill>
            <w14:solidFill>
              <w14:schemeClr w14:val="tx1"/>
            </w14:solidFill>
          </w14:textFill>
        </w:rPr>
        <w:t>万元，增长</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5.8</w:t>
      </w:r>
      <w:r>
        <w:rPr>
          <w:rFonts w:hint="eastAsia" w:asciiTheme="minorEastAsia" w:hAnsiTheme="minorEastAsia" w:eastAsiaTheme="minorEastAsia"/>
          <w:color w:val="000000" w:themeColor="text1"/>
          <w:sz w:val="32"/>
          <w:szCs w:val="32"/>
          <w14:textFill>
            <w14:solidFill>
              <w14:schemeClr w14:val="tx1"/>
            </w14:solidFill>
          </w14:textFill>
        </w:rPr>
        <w:t>%，主要是因为</w:t>
      </w:r>
      <w:r>
        <w:rPr>
          <w:rFonts w:hint="eastAsia" w:asciiTheme="minorEastAsia" w:hAnsiTheme="minorEastAsia" w:eastAsiaTheme="minorEastAsia"/>
          <w:color w:val="000000" w:themeColor="text1"/>
          <w:sz w:val="32"/>
          <w:szCs w:val="32"/>
          <w:lang w:eastAsia="zh-CN"/>
          <w14:textFill>
            <w14:solidFill>
              <w14:schemeClr w14:val="tx1"/>
            </w14:solidFill>
          </w14:textFill>
        </w:rPr>
        <w:t>办案经费增加</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、检察设备购置及大型修缮款等项目</w:t>
      </w:r>
      <w:r>
        <w:rPr>
          <w:rFonts w:hint="eastAsia" w:asciiTheme="minorEastAsia" w:hAnsiTheme="minorEastAsia" w:eastAsiaTheme="minorEastAsia"/>
          <w:color w:val="000000" w:themeColor="text1"/>
          <w:sz w:val="32"/>
          <w:szCs w:val="32"/>
          <w:lang w:eastAsia="zh-CN"/>
          <w14:textFill>
            <w14:solidFill>
              <w14:schemeClr w14:val="tx1"/>
            </w14:solidFill>
          </w14:textFill>
        </w:rPr>
        <w:t>增加。</w:t>
      </w:r>
    </w:p>
    <w:p>
      <w:pPr>
        <w:pStyle w:val="11"/>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（二）财政拨款支出决算结构情况</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2021年度财政拨款支出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2211.28</w:t>
      </w:r>
      <w:r>
        <w:rPr>
          <w:rFonts w:hint="eastAsia" w:asciiTheme="minorEastAsia" w:hAnsiTheme="minorEastAsia" w:eastAsiaTheme="minorEastAsia"/>
          <w:color w:val="000000" w:themeColor="text1"/>
          <w:sz w:val="32"/>
          <w:szCs w:val="32"/>
          <w14:textFill>
            <w14:solidFill>
              <w14:schemeClr w14:val="tx1"/>
            </w14:solidFill>
          </w14:textFill>
        </w:rPr>
        <w:t>万元，主要用于以下方面：一般公共服务支出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1807.19</w:t>
      </w:r>
      <w:r>
        <w:rPr>
          <w:rFonts w:hint="eastAsia" w:asciiTheme="minorEastAsia" w:hAnsiTheme="minorEastAsia" w:eastAsiaTheme="minorEastAsia"/>
          <w:color w:val="000000" w:themeColor="text1"/>
          <w:sz w:val="32"/>
          <w:szCs w:val="32"/>
          <w14:textFill>
            <w14:solidFill>
              <w14:schemeClr w14:val="tx1"/>
            </w14:solidFill>
          </w14:textFill>
        </w:rPr>
        <w:t>万元，占</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81.7</w:t>
      </w:r>
      <w:r>
        <w:rPr>
          <w:rFonts w:hint="eastAsia" w:asciiTheme="minorEastAsia" w:hAnsiTheme="minorEastAsia" w:eastAsiaTheme="minorEastAsia"/>
          <w:color w:val="000000" w:themeColor="text1"/>
          <w:sz w:val="32"/>
          <w:szCs w:val="32"/>
          <w14:textFill>
            <w14:solidFill>
              <w14:schemeClr w14:val="tx1"/>
            </w14:solidFill>
          </w14:textFill>
        </w:rPr>
        <w:t>%；教育支出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6</w:t>
      </w:r>
      <w:r>
        <w:rPr>
          <w:rFonts w:hint="eastAsia" w:asciiTheme="minorEastAsia" w:hAnsiTheme="minorEastAsia" w:eastAsiaTheme="minorEastAsia"/>
          <w:color w:val="000000" w:themeColor="text1"/>
          <w:sz w:val="32"/>
          <w:szCs w:val="32"/>
          <w14:textFill>
            <w14:solidFill>
              <w14:schemeClr w14:val="tx1"/>
            </w14:solidFill>
          </w14:textFill>
        </w:rPr>
        <w:t>万元，占</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0.3</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社会保障和就业支出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95.47万元，</w:t>
      </w:r>
      <w:r>
        <w:rPr>
          <w:rFonts w:hint="eastAsia" w:asciiTheme="minorEastAsia" w:hAnsiTheme="minorEastAsia" w:eastAsiaTheme="minorEastAsia"/>
          <w:color w:val="000000" w:themeColor="text1"/>
          <w:sz w:val="32"/>
          <w:szCs w:val="32"/>
          <w14:textFill>
            <w14:solidFill>
              <w14:schemeClr w14:val="tx1"/>
            </w14:solidFill>
          </w14:textFill>
        </w:rPr>
        <w:t>占</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4.3</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卫生健康支出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117.62万元，</w:t>
      </w:r>
      <w:r>
        <w:rPr>
          <w:rFonts w:hint="eastAsia" w:asciiTheme="minorEastAsia" w:hAnsiTheme="minorEastAsia" w:eastAsiaTheme="minorEastAsia"/>
          <w:color w:val="000000" w:themeColor="text1"/>
          <w:sz w:val="32"/>
          <w:szCs w:val="32"/>
          <w14:textFill>
            <w14:solidFill>
              <w14:schemeClr w14:val="tx1"/>
            </w14:solidFill>
          </w14:textFill>
        </w:rPr>
        <w:t>占</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5.3</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住房保障支出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185万元，</w:t>
      </w:r>
      <w:r>
        <w:rPr>
          <w:rFonts w:hint="eastAsia" w:asciiTheme="minorEastAsia" w:hAnsiTheme="minorEastAsia" w:eastAsiaTheme="minorEastAsia"/>
          <w:color w:val="000000" w:themeColor="text1"/>
          <w:sz w:val="32"/>
          <w:szCs w:val="32"/>
          <w14:textFill>
            <w14:solidFill>
              <w14:schemeClr w14:val="tx1"/>
            </w14:solidFill>
          </w14:textFill>
        </w:rPr>
        <w:t>占</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8.4</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w:t>
      </w:r>
    </w:p>
    <w:p>
      <w:pPr>
        <w:pStyle w:val="11"/>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（三）财政拨款支出决算具体情况</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2021年度财政拨款支出年初预算数为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2090.59</w:t>
      </w:r>
      <w:r>
        <w:rPr>
          <w:rFonts w:hint="eastAsia" w:asciiTheme="minorEastAsia" w:hAnsiTheme="minorEastAsia" w:eastAsiaTheme="minorEastAsia"/>
          <w:color w:val="000000" w:themeColor="text1"/>
          <w:sz w:val="32"/>
          <w:szCs w:val="32"/>
          <w14:textFill>
            <w14:solidFill>
              <w14:schemeClr w14:val="tx1"/>
            </w14:solidFill>
          </w14:textFill>
        </w:rPr>
        <w:t>万元，支出决算数为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2211.28</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105.8</w:t>
      </w:r>
      <w:r>
        <w:rPr>
          <w:rFonts w:hint="eastAsia" w:asciiTheme="minorEastAsia" w:hAnsiTheme="minorEastAsia" w:eastAsiaTheme="minorEastAsia"/>
          <w:color w:val="000000" w:themeColor="text1"/>
          <w:sz w:val="32"/>
          <w:szCs w:val="32"/>
          <w14:textFill>
            <w14:solidFill>
              <w14:schemeClr w14:val="tx1"/>
            </w14:solidFill>
          </w14:textFill>
        </w:rPr>
        <w:t>%，其中：</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w:t>
      </w:r>
      <w:r>
        <w:rPr>
          <w:rFonts w:hint="eastAsia" w:asciiTheme="minorEastAsia" w:hAnsiTheme="minorEastAsia" w:eastAsiaTheme="minorEastAsia"/>
          <w:color w:val="000000" w:themeColor="text1"/>
          <w:sz w:val="32"/>
          <w:szCs w:val="32"/>
          <w:lang w:eastAsia="zh-CN"/>
          <w14:textFill>
            <w14:solidFill>
              <w14:schemeClr w14:val="tx1"/>
            </w14:solidFill>
          </w14:textFill>
        </w:rPr>
        <w:t>公共安全</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检察</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行政运行</w:t>
      </w:r>
      <w:r>
        <w:rPr>
          <w:rFonts w:hint="eastAsia" w:asciiTheme="minorEastAsia" w:hAnsiTheme="minorEastAsia" w:eastAsiaTheme="minorEastAsia"/>
          <w:color w:val="000000" w:themeColor="text1"/>
          <w:sz w:val="32"/>
          <w:szCs w:val="32"/>
          <w14:textFill>
            <w14:solidFill>
              <w14:schemeClr w14:val="tx1"/>
            </w14:solidFill>
          </w14:textFill>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1620.55</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1620.55</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w:t>
      </w:r>
      <w:r>
        <w:rPr>
          <w:rFonts w:hint="eastAsia" w:asciiTheme="minorEastAsia" w:hAnsiTheme="minorEastAsia" w:eastAsiaTheme="minorEastAsia"/>
          <w:color w:val="000000" w:themeColor="text1"/>
          <w:sz w:val="32"/>
          <w:szCs w:val="32"/>
          <w:lang w:eastAsia="zh-CN"/>
          <w14:textFill>
            <w14:solidFill>
              <w14:schemeClr w14:val="tx1"/>
            </w14:solidFill>
          </w14:textFill>
        </w:rPr>
        <w:t>公共安全</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检察</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一般行政管理事务</w:t>
      </w:r>
      <w:r>
        <w:rPr>
          <w:rFonts w:hint="eastAsia" w:asciiTheme="minorEastAsia" w:hAnsiTheme="minorEastAsia" w:eastAsiaTheme="minorEastAsia"/>
          <w:color w:val="000000" w:themeColor="text1"/>
          <w:sz w:val="32"/>
          <w:szCs w:val="32"/>
          <w14:textFill>
            <w14:solidFill>
              <w14:schemeClr w14:val="tx1"/>
            </w14:solidFill>
          </w14:textFill>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42.95</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163.64</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381</w:t>
      </w:r>
      <w:r>
        <w:rPr>
          <w:rFonts w:hint="eastAsia" w:asciiTheme="minorEastAsia" w:hAnsiTheme="minorEastAsia" w:eastAsiaTheme="minorEastAsia"/>
          <w:color w:val="000000" w:themeColor="text1"/>
          <w:sz w:val="32"/>
          <w:szCs w:val="32"/>
          <w14:textFill>
            <w14:solidFill>
              <w14:schemeClr w14:val="tx1"/>
            </w14:solidFill>
          </w14:textFill>
        </w:rPr>
        <w:t>%，决算数</w:t>
      </w:r>
      <w:r>
        <w:rPr>
          <w:rFonts w:hint="eastAsia" w:asciiTheme="minorEastAsia" w:hAnsiTheme="minorEastAsia" w:eastAsiaTheme="minorEastAsia"/>
          <w:color w:val="000000" w:themeColor="text1"/>
          <w:sz w:val="32"/>
          <w:szCs w:val="32"/>
          <w:lang w:eastAsia="zh-CN"/>
          <w14:textFill>
            <w14:solidFill>
              <w14:schemeClr w14:val="tx1"/>
            </w14:solidFill>
          </w14:textFill>
        </w:rPr>
        <w:t>大于</w:t>
      </w:r>
      <w:r>
        <w:rPr>
          <w:rFonts w:hint="eastAsia" w:asciiTheme="minorEastAsia" w:hAnsiTheme="minorEastAsia" w:eastAsiaTheme="minorEastAsia"/>
          <w:color w:val="000000" w:themeColor="text1"/>
          <w:sz w:val="32"/>
          <w:szCs w:val="32"/>
          <w14:textFill>
            <w14:solidFill>
              <w14:schemeClr w14:val="tx1"/>
            </w14:solidFill>
          </w14:textFill>
        </w:rPr>
        <w:t>年初预算数的主要原因是：</w:t>
      </w:r>
      <w:r>
        <w:rPr>
          <w:rFonts w:hint="eastAsia" w:asciiTheme="minorEastAsia" w:hAnsiTheme="minorEastAsia" w:eastAsiaTheme="minorEastAsia"/>
          <w:color w:val="000000" w:themeColor="text1"/>
          <w:sz w:val="32"/>
          <w:szCs w:val="32"/>
          <w:lang w:eastAsia="zh-CN"/>
          <w14:textFill>
            <w14:solidFill>
              <w14:schemeClr w14:val="tx1"/>
            </w14:solidFill>
          </w14:textFill>
        </w:rPr>
        <w:t>追加项目经费支出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120.69万元，其中包括办案专项费用、检察设备购置及大型修缮款等项目</w:t>
      </w:r>
      <w:r>
        <w:rPr>
          <w:rFonts w:hint="eastAsia" w:asciiTheme="minorEastAsia" w:hAnsiTheme="minorEastAsia" w:eastAsiaTheme="minorEastAsia"/>
          <w:color w:val="000000" w:themeColor="text1"/>
          <w:sz w:val="32"/>
          <w:szCs w:val="32"/>
          <w:lang w:eastAsia="zh-CN"/>
          <w14:textFill>
            <w14:solidFill>
              <w14:schemeClr w14:val="tx1"/>
            </w14:solidFill>
          </w14:textFill>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3、</w:t>
      </w:r>
      <w:r>
        <w:rPr>
          <w:rFonts w:hint="eastAsia" w:asciiTheme="minorEastAsia" w:hAnsiTheme="minorEastAsia" w:eastAsiaTheme="minorEastAsia"/>
          <w:color w:val="000000" w:themeColor="text1"/>
          <w:sz w:val="32"/>
          <w:szCs w:val="32"/>
          <w:lang w:eastAsia="zh-CN"/>
          <w14:textFill>
            <w14:solidFill>
              <w14:schemeClr w14:val="tx1"/>
            </w14:solidFill>
          </w14:textFill>
        </w:rPr>
        <w:t>公共安全</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检察</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检察监督</w:t>
      </w:r>
      <w:r>
        <w:rPr>
          <w:rFonts w:hint="eastAsia" w:asciiTheme="minorEastAsia" w:hAnsiTheme="minorEastAsia" w:eastAsiaTheme="minorEastAsia"/>
          <w:color w:val="000000" w:themeColor="text1"/>
          <w:sz w:val="32"/>
          <w:szCs w:val="32"/>
          <w14:textFill>
            <w14:solidFill>
              <w14:schemeClr w14:val="tx1"/>
            </w14:solidFill>
          </w14:textFill>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23</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23</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4、</w:t>
      </w:r>
      <w:r>
        <w:rPr>
          <w:rFonts w:hint="eastAsia" w:asciiTheme="minorEastAsia" w:hAnsiTheme="minorEastAsia" w:eastAsiaTheme="minorEastAsia"/>
          <w:color w:val="000000" w:themeColor="text1"/>
          <w:sz w:val="32"/>
          <w:szCs w:val="32"/>
          <w:lang w:eastAsia="zh-CN"/>
          <w14:textFill>
            <w14:solidFill>
              <w14:schemeClr w14:val="tx1"/>
            </w14:solidFill>
          </w14:textFill>
        </w:rPr>
        <w:t>教育支出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进修及培训</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培训支出</w:t>
      </w:r>
      <w:r>
        <w:rPr>
          <w:rFonts w:hint="eastAsia" w:asciiTheme="minorEastAsia" w:hAnsiTheme="minorEastAsia" w:eastAsiaTheme="minorEastAsia"/>
          <w:color w:val="000000" w:themeColor="text1"/>
          <w:sz w:val="32"/>
          <w:szCs w:val="32"/>
          <w14:textFill>
            <w14:solidFill>
              <w14:schemeClr w14:val="tx1"/>
            </w14:solidFill>
          </w14:textFill>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6</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6</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5、</w:t>
      </w:r>
      <w:r>
        <w:rPr>
          <w:rFonts w:hint="eastAsia" w:asciiTheme="minorEastAsia" w:hAnsiTheme="minorEastAsia" w:eastAsiaTheme="minorEastAsia"/>
          <w:color w:val="000000" w:themeColor="text1"/>
          <w:sz w:val="32"/>
          <w:szCs w:val="32"/>
          <w:lang w:eastAsia="zh-CN"/>
          <w14:textFill>
            <w14:solidFill>
              <w14:schemeClr w14:val="tx1"/>
            </w14:solidFill>
          </w14:textFill>
        </w:rPr>
        <w:t>社会保障和就业支出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行政事业单位养老支出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机关事业单位基本养老保险缴费支出</w:t>
      </w:r>
      <w:r>
        <w:rPr>
          <w:rFonts w:hint="eastAsia" w:asciiTheme="minorEastAsia" w:hAnsiTheme="minorEastAsia" w:eastAsiaTheme="minorEastAsia"/>
          <w:color w:val="000000" w:themeColor="text1"/>
          <w:sz w:val="32"/>
          <w:szCs w:val="32"/>
          <w14:textFill>
            <w14:solidFill>
              <w14:schemeClr w14:val="tx1"/>
            </w14:solidFill>
          </w14:textFill>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82.56</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82.56</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6、</w:t>
      </w:r>
      <w:r>
        <w:rPr>
          <w:rFonts w:hint="eastAsia" w:asciiTheme="minorEastAsia" w:hAnsiTheme="minorEastAsia" w:eastAsiaTheme="minorEastAsia"/>
          <w:color w:val="000000" w:themeColor="text1"/>
          <w:sz w:val="32"/>
          <w:szCs w:val="32"/>
          <w:lang w:eastAsia="zh-CN"/>
          <w14:textFill>
            <w14:solidFill>
              <w14:schemeClr w14:val="tx1"/>
            </w14:solidFill>
          </w14:textFill>
        </w:rPr>
        <w:t>社会保障和就业支出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其他社会保障和就业支出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其他社会保障和就业支出</w:t>
      </w:r>
      <w:r>
        <w:rPr>
          <w:rFonts w:hint="eastAsia" w:asciiTheme="minorEastAsia" w:hAnsiTheme="minorEastAsia" w:eastAsiaTheme="minorEastAsia"/>
          <w:color w:val="000000" w:themeColor="text1"/>
          <w:sz w:val="32"/>
          <w:szCs w:val="32"/>
          <w14:textFill>
            <w14:solidFill>
              <w14:schemeClr w14:val="tx1"/>
            </w14:solidFill>
          </w14:textFill>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12.91</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12.91</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7、</w:t>
      </w:r>
      <w:r>
        <w:rPr>
          <w:rFonts w:hint="eastAsia" w:asciiTheme="minorEastAsia" w:hAnsiTheme="minorEastAsia" w:eastAsiaTheme="minorEastAsia"/>
          <w:color w:val="000000" w:themeColor="text1"/>
          <w:sz w:val="32"/>
          <w:szCs w:val="32"/>
          <w:lang w:eastAsia="zh-CN"/>
          <w14:textFill>
            <w14:solidFill>
              <w14:schemeClr w14:val="tx1"/>
            </w14:solidFill>
          </w14:textFill>
        </w:rPr>
        <w:t>卫生健康支出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行政事业单位医疗</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行政单位医疗</w:t>
      </w:r>
      <w:r>
        <w:rPr>
          <w:rFonts w:hint="eastAsia" w:asciiTheme="minorEastAsia" w:hAnsiTheme="minorEastAsia" w:eastAsiaTheme="minorEastAsia"/>
          <w:color w:val="000000" w:themeColor="text1"/>
          <w:sz w:val="32"/>
          <w:szCs w:val="32"/>
          <w14:textFill>
            <w14:solidFill>
              <w14:schemeClr w14:val="tx1"/>
            </w14:solidFill>
          </w14:textFill>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81.5</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81.5</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8、</w:t>
      </w:r>
      <w:r>
        <w:rPr>
          <w:rFonts w:hint="eastAsia" w:asciiTheme="minorEastAsia" w:hAnsiTheme="minorEastAsia" w:eastAsiaTheme="minorEastAsia"/>
          <w:color w:val="000000" w:themeColor="text1"/>
          <w:sz w:val="32"/>
          <w:szCs w:val="32"/>
          <w:lang w:eastAsia="zh-CN"/>
          <w14:textFill>
            <w14:solidFill>
              <w14:schemeClr w14:val="tx1"/>
            </w14:solidFill>
          </w14:textFill>
        </w:rPr>
        <w:t>卫生健康支出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行政事业单位医疗</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公务员医疗补助</w:t>
      </w:r>
      <w:r>
        <w:rPr>
          <w:rFonts w:hint="eastAsia" w:asciiTheme="minorEastAsia" w:hAnsiTheme="minorEastAsia" w:eastAsiaTheme="minorEastAsia"/>
          <w:color w:val="000000" w:themeColor="text1"/>
          <w:sz w:val="32"/>
          <w:szCs w:val="32"/>
          <w14:textFill>
            <w14:solidFill>
              <w14:schemeClr w14:val="tx1"/>
            </w14:solidFill>
          </w14:textFill>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36.12</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36.12</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9、</w:t>
      </w:r>
      <w:r>
        <w:rPr>
          <w:rFonts w:hint="eastAsia" w:asciiTheme="minorEastAsia" w:hAnsiTheme="minorEastAsia" w:eastAsiaTheme="minorEastAsia"/>
          <w:color w:val="000000" w:themeColor="text1"/>
          <w:sz w:val="32"/>
          <w:szCs w:val="32"/>
          <w:lang w:eastAsia="zh-CN"/>
          <w14:textFill>
            <w14:solidFill>
              <w14:schemeClr w14:val="tx1"/>
            </w14:solidFill>
          </w14:textFill>
        </w:rPr>
        <w:t>住房保障支出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住房改革支出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住房公积金</w:t>
      </w:r>
      <w:r>
        <w:rPr>
          <w:rFonts w:hint="eastAsia" w:asciiTheme="minorEastAsia" w:hAnsiTheme="minorEastAsia" w:eastAsiaTheme="minorEastAsia"/>
          <w:color w:val="000000" w:themeColor="text1"/>
          <w:sz w:val="32"/>
          <w:szCs w:val="32"/>
          <w14:textFill>
            <w14:solidFill>
              <w14:schemeClr w14:val="tx1"/>
            </w14:solidFill>
          </w14:textFill>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default" w:asciiTheme="minorEastAsia" w:hAnsiTheme="minorEastAsia" w:eastAsia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年初预算为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185</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185</w:t>
      </w:r>
      <w:r>
        <w:rPr>
          <w:rFonts w:hint="eastAsia" w:asciiTheme="minorEastAsia" w:hAnsiTheme="minorEastAsia" w:eastAsiaTheme="minorEastAsia"/>
          <w:color w:val="000000" w:themeColor="text1"/>
          <w:sz w:val="32"/>
          <w:szCs w:val="32"/>
          <w14:textFill>
            <w14:solidFill>
              <w14:schemeClr w14:val="tx1"/>
            </w14:solidFill>
          </w14:textFill>
        </w:rPr>
        <w:t>万元，完成年初预算的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w:t>
      </w:r>
    </w:p>
    <w:p>
      <w:pPr>
        <w:pStyle w:val="11"/>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六、一般公共预算财政拨款基本支出决算情况说明</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i/>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2021年度财政拨款基本支出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2047.64</w:t>
      </w:r>
      <w:r>
        <w:rPr>
          <w:rFonts w:hint="eastAsia" w:asciiTheme="minorEastAsia" w:hAnsiTheme="minorEastAsia" w:eastAsiaTheme="minorEastAsia"/>
          <w:color w:val="000000" w:themeColor="text1"/>
          <w:sz w:val="32"/>
          <w:szCs w:val="32"/>
          <w14:textFill>
            <w14:solidFill>
              <w14:schemeClr w14:val="tx1"/>
            </w14:solidFill>
          </w14:textFill>
        </w:rPr>
        <w:t>万元，其中：人员经费</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1557.64</w:t>
      </w:r>
      <w:r>
        <w:rPr>
          <w:rFonts w:hint="eastAsia" w:asciiTheme="minorEastAsia" w:hAnsiTheme="minorEastAsia" w:eastAsiaTheme="minorEastAsia"/>
          <w:color w:val="000000" w:themeColor="text1"/>
          <w:sz w:val="32"/>
          <w:szCs w:val="32"/>
          <w14:textFill>
            <w14:solidFill>
              <w14:schemeClr w14:val="tx1"/>
            </w14:solidFill>
          </w14:textFill>
        </w:rPr>
        <w:t>万元，占基本支出的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76.1</w:t>
      </w:r>
      <w:r>
        <w:rPr>
          <w:rFonts w:hint="eastAsia" w:asciiTheme="minorEastAsia" w:hAnsiTheme="minorEastAsia" w:eastAsiaTheme="minorEastAsia"/>
          <w:color w:val="000000" w:themeColor="text1"/>
          <w:sz w:val="32"/>
          <w:szCs w:val="32"/>
          <w14:textFill>
            <w14:solidFill>
              <w14:schemeClr w14:val="tx1"/>
            </w14:solidFill>
          </w14:textFill>
        </w:rPr>
        <w:t>%，主要包括基本工资、津贴补贴、奖金、</w:t>
      </w:r>
      <w:r>
        <w:rPr>
          <w:rFonts w:hint="eastAsia" w:asciiTheme="minorEastAsia" w:hAnsiTheme="minorEastAsia" w:eastAsiaTheme="minorEastAsia"/>
          <w:color w:val="000000" w:themeColor="text1"/>
          <w:sz w:val="32"/>
          <w:szCs w:val="32"/>
          <w:lang w:eastAsia="zh-CN"/>
          <w14:textFill>
            <w14:solidFill>
              <w14:schemeClr w14:val="tx1"/>
            </w14:solidFill>
          </w14:textFill>
        </w:rPr>
        <w:t>机关事业单位基本养老保险缴费、职工基本医疗保险缴费、公务员医疗补助缴费、其他社会保障缴费、住房公积、其他工资福利支出、其他对个人和家庭的补助</w:t>
      </w:r>
      <w:r>
        <w:rPr>
          <w:rFonts w:hint="eastAsia" w:asciiTheme="minorEastAsia" w:hAnsiTheme="minorEastAsia" w:eastAsiaTheme="minorEastAsia"/>
          <w:color w:val="000000" w:themeColor="text1"/>
          <w:sz w:val="32"/>
          <w:szCs w:val="32"/>
          <w14:textFill>
            <w14:solidFill>
              <w14:schemeClr w14:val="tx1"/>
            </w14:solidFill>
          </w14:textFill>
        </w:rPr>
        <w:t>；公用经费</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490</w:t>
      </w:r>
      <w:r>
        <w:rPr>
          <w:rFonts w:hint="eastAsia" w:asciiTheme="minorEastAsia" w:hAnsiTheme="minorEastAsia" w:eastAsiaTheme="minorEastAsia"/>
          <w:color w:val="000000" w:themeColor="text1"/>
          <w:sz w:val="32"/>
          <w:szCs w:val="32"/>
          <w14:textFill>
            <w14:solidFill>
              <w14:schemeClr w14:val="tx1"/>
            </w14:solidFill>
          </w14:textFill>
        </w:rPr>
        <w:t>万元，占基本支出的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23.9</w:t>
      </w:r>
      <w:r>
        <w:rPr>
          <w:rFonts w:hint="eastAsia" w:asciiTheme="minorEastAsia" w:hAnsiTheme="minorEastAsia" w:eastAsiaTheme="minorEastAsia"/>
          <w:color w:val="000000" w:themeColor="text1"/>
          <w:sz w:val="32"/>
          <w:szCs w:val="32"/>
          <w14:textFill>
            <w14:solidFill>
              <w14:schemeClr w14:val="tx1"/>
            </w14:solidFill>
          </w14:textFill>
        </w:rPr>
        <w:t>%，主要包括办公费、</w:t>
      </w:r>
      <w:r>
        <w:rPr>
          <w:rFonts w:hint="eastAsia" w:asciiTheme="minorEastAsia" w:hAnsiTheme="minorEastAsia" w:eastAsiaTheme="minorEastAsia"/>
          <w:color w:val="000000" w:themeColor="text1"/>
          <w:sz w:val="32"/>
          <w:szCs w:val="32"/>
          <w:lang w:eastAsia="zh-CN"/>
          <w14:textFill>
            <w14:solidFill>
              <w14:schemeClr w14:val="tx1"/>
            </w14:solidFill>
          </w14:textFill>
        </w:rPr>
        <w:t>水费、电费、邮电费、取暖费、物业管理费、差旅费、维修（护）费、租赁费、培训费、劳务费、工会经费、公务接待费、公务用车运行维护费、其他交通费、福利费、其他商品和服务支出</w:t>
      </w:r>
      <w:r>
        <w:rPr>
          <w:rFonts w:hint="eastAsia" w:asciiTheme="minorEastAsia" w:hAnsiTheme="minorEastAsia" w:eastAsiaTheme="minorEastAsia"/>
          <w:color w:val="000000" w:themeColor="text1"/>
          <w:sz w:val="32"/>
          <w:szCs w:val="32"/>
          <w14:textFill>
            <w14:solidFill>
              <w14:schemeClr w14:val="tx1"/>
            </w14:solidFill>
          </w14:textFill>
        </w:rPr>
        <w:t>。</w:t>
      </w:r>
    </w:p>
    <w:p>
      <w:pPr>
        <w:pStyle w:val="11"/>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七、一般公共预算财政拨款“三公”经费支出决算情况说明</w:t>
      </w:r>
    </w:p>
    <w:p>
      <w:pPr>
        <w:pStyle w:val="11"/>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（一）“三公”经费财政拨款支出决算总体情况说明</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2021年度“三公”经费财政拨款支出预算为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26</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26</w:t>
      </w:r>
      <w:r>
        <w:rPr>
          <w:rFonts w:hint="eastAsia" w:asciiTheme="minorEastAsia" w:hAnsiTheme="minorEastAsia" w:eastAsiaTheme="minorEastAsia"/>
          <w:color w:val="000000" w:themeColor="text1"/>
          <w:sz w:val="32"/>
          <w:szCs w:val="32"/>
          <w14:textFill>
            <w14:solidFill>
              <w14:schemeClr w14:val="tx1"/>
            </w14:solidFill>
          </w14:textFill>
        </w:rPr>
        <w:t>万元，完成预算的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%，其中：</w:t>
      </w:r>
    </w:p>
    <w:p>
      <w:pPr>
        <w:pStyle w:val="11"/>
        <w:ind w:firstLine="800" w:firstLineChars="25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因公出国（境）费支出预算为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万元，完成预算的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本年度未安排因公出国项目，</w:t>
      </w:r>
      <w:r>
        <w:rPr>
          <w:rFonts w:hint="eastAsia" w:asciiTheme="minorEastAsia" w:hAnsiTheme="minorEastAsia" w:eastAsiaTheme="minorEastAsia"/>
          <w:color w:val="000000" w:themeColor="text1"/>
          <w:sz w:val="32"/>
          <w:szCs w:val="32"/>
          <w14:textFill>
            <w14:solidFill>
              <w14:schemeClr w14:val="tx1"/>
            </w14:solidFill>
          </w14:textFill>
        </w:rPr>
        <w:t>与上年</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对比支出持平</w:t>
      </w:r>
      <w:r>
        <w:rPr>
          <w:rFonts w:hint="eastAsia" w:asciiTheme="minorEastAsia" w:hAnsiTheme="minorEastAsia" w:eastAsiaTheme="minorEastAsia"/>
          <w:color w:val="000000" w:themeColor="text1"/>
          <w:sz w:val="32"/>
          <w:szCs w:val="32"/>
          <w14:textFill>
            <w14:solidFill>
              <w14:schemeClr w14:val="tx1"/>
            </w14:solidFill>
          </w14:textFill>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color w:val="FF0000"/>
          <w:sz w:val="32"/>
          <w:szCs w:val="32"/>
          <w:lang w:eastAsia="zh-CN"/>
        </w:rPr>
      </w:pPr>
      <w:r>
        <w:rPr>
          <w:rFonts w:hint="eastAsia" w:asciiTheme="minorEastAsia" w:hAnsiTheme="minorEastAsia" w:eastAsiaTheme="minorEastAsia"/>
          <w:color w:val="000000" w:themeColor="text1"/>
          <w:sz w:val="32"/>
          <w:szCs w:val="32"/>
          <w14:textFill>
            <w14:solidFill>
              <w14:schemeClr w14:val="tx1"/>
            </w14:solidFill>
          </w14:textFill>
        </w:rPr>
        <w:t>公务接待费支出预算为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w:t>
      </w:r>
      <w:r>
        <w:rPr>
          <w:rFonts w:hint="eastAsia" w:asciiTheme="minorEastAsia" w:hAnsiTheme="minorEastAsia" w:eastAsiaTheme="minorEastAsia"/>
          <w:color w:val="000000" w:themeColor="text1"/>
          <w:sz w:val="32"/>
          <w:szCs w:val="32"/>
          <w14:textFill>
            <w14:solidFill>
              <w14:schemeClr w14:val="tx1"/>
            </w14:solidFill>
          </w14:textFill>
        </w:rPr>
        <w:t>万元，完成预算的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%，与上年相比增加</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w:t>
      </w:r>
      <w:r>
        <w:rPr>
          <w:rFonts w:hint="eastAsia" w:asciiTheme="minorEastAsia" w:hAnsiTheme="minorEastAsia" w:eastAsiaTheme="minorEastAsia"/>
          <w:color w:val="000000" w:themeColor="text1"/>
          <w:sz w:val="32"/>
          <w:szCs w:val="32"/>
          <w14:textFill>
            <w14:solidFill>
              <w14:schemeClr w14:val="tx1"/>
            </w14:solidFill>
          </w14:textFill>
        </w:rPr>
        <w:t>万元，增长</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%，增长的主要原因是</w:t>
      </w:r>
      <w:r>
        <w:rPr>
          <w:rFonts w:hint="eastAsia" w:asciiTheme="minorEastAsia" w:hAnsiTheme="minorEastAsia" w:eastAsiaTheme="minorEastAsia"/>
          <w:sz w:val="32"/>
          <w:szCs w:val="32"/>
        </w:rPr>
        <w:t>高检</w:t>
      </w:r>
      <w:r>
        <w:rPr>
          <w:rFonts w:hint="eastAsia" w:asciiTheme="minorEastAsia" w:hAnsiTheme="minorEastAsia" w:eastAsiaTheme="minorEastAsia"/>
          <w:sz w:val="32"/>
          <w:szCs w:val="32"/>
          <w:lang w:eastAsia="zh-CN"/>
        </w:rPr>
        <w:t>院</w:t>
      </w:r>
      <w:r>
        <w:rPr>
          <w:rFonts w:hint="eastAsia" w:asciiTheme="minorEastAsia" w:hAnsiTheme="minorEastAsia" w:eastAsiaTheme="minorEastAsia"/>
          <w:sz w:val="32"/>
          <w:szCs w:val="32"/>
        </w:rPr>
        <w:t>调研工作增加</w:t>
      </w:r>
      <w:r>
        <w:rPr>
          <w:rFonts w:hint="eastAsia" w:asciiTheme="minorEastAsia" w:hAnsiTheme="minorEastAsia" w:eastAsiaTheme="minorEastAsia"/>
          <w:sz w:val="32"/>
          <w:szCs w:val="32"/>
          <w:lang w:val="en-US" w:eastAsia="zh-CN"/>
        </w:rPr>
        <w:t>以及新化、常德、湘西自治州等检察院来我院交流学习，</w:t>
      </w:r>
      <w:r>
        <w:rPr>
          <w:rFonts w:hint="eastAsia" w:asciiTheme="minorEastAsia" w:hAnsiTheme="minorEastAsia" w:eastAsiaTheme="minorEastAsia"/>
          <w:sz w:val="32"/>
          <w:szCs w:val="32"/>
        </w:rPr>
        <w:t>公务接待任务加重</w:t>
      </w:r>
      <w:r>
        <w:rPr>
          <w:rFonts w:hint="eastAsia" w:asciiTheme="minorEastAsia" w:hAnsiTheme="minorEastAsia" w:eastAsiaTheme="minorEastAsia"/>
          <w:sz w:val="32"/>
          <w:szCs w:val="32"/>
          <w:lang w:eastAsia="zh-CN"/>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公务用车购置费支出预算为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万元，完成预算的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%，与上年相比减少</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25</w:t>
      </w:r>
      <w:r>
        <w:rPr>
          <w:rFonts w:hint="eastAsia" w:asciiTheme="minorEastAsia" w:hAnsiTheme="minorEastAsia" w:eastAsiaTheme="minorEastAsia"/>
          <w:color w:val="000000" w:themeColor="text1"/>
          <w:sz w:val="32"/>
          <w:szCs w:val="32"/>
          <w14:textFill>
            <w14:solidFill>
              <w14:schemeClr w14:val="tx1"/>
            </w14:solidFill>
          </w14:textFill>
        </w:rPr>
        <w:t>万元，减少</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%，减少的主要原因是</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2021年</w:t>
      </w:r>
      <w:r>
        <w:rPr>
          <w:rFonts w:hint="eastAsia" w:asciiTheme="minorEastAsia" w:hAnsiTheme="minorEastAsia" w:eastAsiaTheme="minorEastAsia"/>
          <w:color w:val="000000" w:themeColor="text1"/>
          <w:sz w:val="32"/>
          <w:szCs w:val="32"/>
          <w:lang w:eastAsia="zh-CN"/>
          <w14:textFill>
            <w14:solidFill>
              <w14:schemeClr w14:val="tx1"/>
            </w14:solidFill>
          </w14:textFill>
        </w:rPr>
        <w:t>未购置新车</w:t>
      </w:r>
      <w:r>
        <w:rPr>
          <w:rFonts w:hint="eastAsia" w:asciiTheme="minorEastAsia" w:hAnsiTheme="minorEastAsia" w:eastAsiaTheme="minorEastAsia"/>
          <w:color w:val="000000" w:themeColor="text1"/>
          <w:sz w:val="32"/>
          <w:szCs w:val="32"/>
          <w14:textFill>
            <w14:solidFill>
              <w14:schemeClr w14:val="tx1"/>
            </w14:solidFill>
          </w14:textFill>
        </w:rPr>
        <w:t>。</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公务用车运行维护费支出预算为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25</w:t>
      </w:r>
      <w:r>
        <w:rPr>
          <w:rFonts w:hint="eastAsia" w:asciiTheme="minorEastAsia" w:hAnsiTheme="minorEastAsia" w:eastAsiaTheme="minorEastAsia"/>
          <w:color w:val="000000" w:themeColor="text1"/>
          <w:sz w:val="32"/>
          <w:szCs w:val="32"/>
          <w14:textFill>
            <w14:solidFill>
              <w14:schemeClr w14:val="tx1"/>
            </w14:solidFill>
          </w14:textFill>
        </w:rPr>
        <w:t>万元，支出决算为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25</w:t>
      </w:r>
      <w:r>
        <w:rPr>
          <w:rFonts w:hint="eastAsia" w:asciiTheme="minorEastAsia" w:hAnsiTheme="minorEastAsia" w:eastAsiaTheme="minorEastAsia"/>
          <w:color w:val="000000" w:themeColor="text1"/>
          <w:sz w:val="32"/>
          <w:szCs w:val="32"/>
          <w14:textFill>
            <w14:solidFill>
              <w14:schemeClr w14:val="tx1"/>
            </w14:solidFill>
          </w14:textFill>
        </w:rPr>
        <w:t>万元，完成预算的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%，与上年相比增加</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13</w:t>
      </w:r>
      <w:r>
        <w:rPr>
          <w:rFonts w:hint="eastAsia" w:asciiTheme="minorEastAsia" w:hAnsiTheme="minorEastAsia" w:eastAsiaTheme="minorEastAsia"/>
          <w:color w:val="000000" w:themeColor="text1"/>
          <w:sz w:val="32"/>
          <w:szCs w:val="32"/>
          <w14:textFill>
            <w14:solidFill>
              <w14:schemeClr w14:val="tx1"/>
            </w14:solidFill>
          </w14:textFill>
        </w:rPr>
        <w:t>万元，增长</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108.3</w:t>
      </w:r>
      <w:r>
        <w:rPr>
          <w:rFonts w:hint="eastAsia" w:asciiTheme="minorEastAsia" w:hAnsiTheme="minorEastAsia" w:eastAsiaTheme="minorEastAsia"/>
          <w:color w:val="000000" w:themeColor="text1"/>
          <w:sz w:val="32"/>
          <w:szCs w:val="32"/>
          <w14:textFill>
            <w14:solidFill>
              <w14:schemeClr w14:val="tx1"/>
            </w14:solidFill>
          </w14:textFill>
        </w:rPr>
        <w:t>%，增长的主要原因是</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预付2022年车辆开支</w:t>
      </w:r>
      <w:r>
        <w:rPr>
          <w:rFonts w:hint="eastAsia" w:asciiTheme="minorEastAsia" w:hAnsiTheme="minorEastAsia" w:eastAsiaTheme="minorEastAsia"/>
          <w:color w:val="000000" w:themeColor="text1"/>
          <w:sz w:val="32"/>
          <w:szCs w:val="32"/>
          <w:lang w:eastAsia="zh-CN"/>
          <w14:textFill>
            <w14:solidFill>
              <w14:schemeClr w14:val="tx1"/>
            </w14:solidFill>
          </w14:textFill>
        </w:rPr>
        <w:t>，</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为2022年购置新车做准备</w:t>
      </w:r>
      <w:r>
        <w:rPr>
          <w:rFonts w:hint="eastAsia" w:asciiTheme="minorEastAsia" w:hAnsiTheme="minorEastAsia" w:eastAsiaTheme="minorEastAsia"/>
          <w:color w:val="000000" w:themeColor="text1"/>
          <w:sz w:val="32"/>
          <w:szCs w:val="32"/>
          <w14:textFill>
            <w14:solidFill>
              <w14:schemeClr w14:val="tx1"/>
            </w14:solidFill>
          </w14:textFill>
        </w:rPr>
        <w:t>。</w:t>
      </w:r>
    </w:p>
    <w:p>
      <w:pPr>
        <w:pStyle w:val="11"/>
        <w:keepNext w:val="0"/>
        <w:keepLines w:val="0"/>
        <w:pageBreakBefore w:val="0"/>
        <w:widowControl w:val="0"/>
        <w:kinsoku/>
        <w:wordWrap/>
        <w:overflowPunct/>
        <w:topLinePunct w:val="0"/>
        <w:bidi w:val="0"/>
        <w:snapToGrid/>
        <w:textAlignment w:val="auto"/>
        <w:rPr>
          <w:rFonts w:asciiTheme="minorEastAsia" w:hAnsiTheme="minorEastAsia" w:eastAsiaTheme="minorEastAsia"/>
          <w:b/>
          <w:color w:val="000000" w:themeColor="text1"/>
          <w:sz w:val="32"/>
          <w:szCs w:val="32"/>
          <w14:textFill>
            <w14:solidFill>
              <w14:schemeClr w14:val="tx1"/>
            </w14:solidFill>
          </w14:textFill>
        </w:rPr>
      </w:pPr>
      <w:r>
        <w:rPr>
          <w:rFonts w:hint="eastAsia" w:asciiTheme="minorEastAsia" w:hAnsiTheme="minorEastAsia" w:eastAsiaTheme="minorEastAsia"/>
          <w:b/>
          <w:color w:val="000000" w:themeColor="text1"/>
          <w:sz w:val="32"/>
          <w:szCs w:val="32"/>
          <w14:textFill>
            <w14:solidFill>
              <w14:schemeClr w14:val="tx1"/>
            </w14:solidFill>
          </w14:textFill>
        </w:rPr>
        <w:t>（二）“三公”经费财政拨款支出决算具体情况说明</w:t>
      </w:r>
    </w:p>
    <w:p>
      <w:pPr>
        <w:pStyle w:val="11"/>
        <w:keepNext w:val="0"/>
        <w:keepLines w:val="0"/>
        <w:pageBreakBefore w:val="0"/>
        <w:widowControl w:val="0"/>
        <w:kinsoku/>
        <w:wordWrap/>
        <w:overflowPunct/>
        <w:topLinePunct w:val="0"/>
        <w:bidi w:val="0"/>
        <w:snapToGrid/>
        <w:ind w:firstLine="640" w:firstLineChars="200"/>
        <w:textAlignment w:val="auto"/>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2021年度“三公”经费财政拨款支出决算中，公务接待费支出决算</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w:t>
      </w:r>
      <w:r>
        <w:rPr>
          <w:rFonts w:hint="eastAsia" w:asciiTheme="minorEastAsia" w:hAnsiTheme="minorEastAsia" w:eastAsiaTheme="minorEastAsia"/>
          <w:color w:val="000000" w:themeColor="text1"/>
          <w:sz w:val="32"/>
          <w:szCs w:val="32"/>
          <w14:textFill>
            <w14:solidFill>
              <w14:schemeClr w14:val="tx1"/>
            </w14:solidFill>
          </w14:textFill>
        </w:rPr>
        <w:t>万元，占</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3.85</w:t>
      </w:r>
      <w:r>
        <w:rPr>
          <w:rFonts w:hint="eastAsia" w:asciiTheme="minorEastAsia" w:hAnsiTheme="minorEastAsia" w:eastAsiaTheme="minorEastAsia"/>
          <w:color w:val="000000" w:themeColor="text1"/>
          <w:sz w:val="32"/>
          <w:szCs w:val="32"/>
          <w14:textFill>
            <w14:solidFill>
              <w14:schemeClr w14:val="tx1"/>
            </w14:solidFill>
          </w14:textFill>
        </w:rPr>
        <w:t>%，因公出国（境）费支出决算</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万元，占</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%，公务用车购置费及运行维护费支出决算</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25</w:t>
      </w:r>
      <w:r>
        <w:rPr>
          <w:rFonts w:hint="eastAsia" w:asciiTheme="minorEastAsia" w:hAnsiTheme="minorEastAsia" w:eastAsiaTheme="minorEastAsia"/>
          <w:color w:val="000000" w:themeColor="text1"/>
          <w:sz w:val="32"/>
          <w:szCs w:val="32"/>
          <w14:textFill>
            <w14:solidFill>
              <w14:schemeClr w14:val="tx1"/>
            </w14:solidFill>
          </w14:textFill>
        </w:rPr>
        <w:t>万元，占</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96.15</w:t>
      </w:r>
      <w:r>
        <w:rPr>
          <w:rFonts w:hint="eastAsia" w:asciiTheme="minorEastAsia" w:hAnsiTheme="minorEastAsia" w:eastAsiaTheme="minorEastAsia"/>
          <w:color w:val="000000" w:themeColor="text1"/>
          <w:sz w:val="32"/>
          <w:szCs w:val="32"/>
          <w14:textFill>
            <w14:solidFill>
              <w14:schemeClr w14:val="tx1"/>
            </w14:solidFill>
          </w14:textFill>
        </w:rPr>
        <w:t>%。其中：</w:t>
      </w:r>
    </w:p>
    <w:p>
      <w:pPr>
        <w:pStyle w:val="11"/>
        <w:keepNext w:val="0"/>
        <w:keepLines w:val="0"/>
        <w:pageBreakBefore w:val="0"/>
        <w:widowControl w:val="0"/>
        <w:kinsoku/>
        <w:wordWrap/>
        <w:overflowPunct/>
        <w:topLinePunct w:val="0"/>
        <w:bidi w:val="0"/>
        <w:snapToGrid/>
        <w:ind w:firstLine="640" w:firstLineChars="200"/>
        <w:textAlignment w:val="auto"/>
        <w:rPr>
          <w:rFonts w:hint="default" w:asciiTheme="minorEastAsia" w:hAnsiTheme="minorEastAsia" w:eastAsiaTheme="minorEastAsia"/>
          <w:b/>
          <w:color w:val="000000" w:themeColor="text1"/>
          <w:sz w:val="32"/>
          <w:szCs w:val="32"/>
          <w:lang w:val="en" w:eastAsia="zh-CN"/>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1、因公出国（境）费支出决算为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w:t>
      </w:r>
      <w:r>
        <w:rPr>
          <w:rFonts w:hint="eastAsia" w:asciiTheme="minorEastAsia" w:hAnsiTheme="minorEastAsia" w:eastAsiaTheme="minorEastAsia"/>
          <w:sz w:val="32"/>
          <w:szCs w:val="32"/>
        </w:rPr>
        <w:t>本年度未安排因公出国项目。</w:t>
      </w:r>
    </w:p>
    <w:p>
      <w:pPr>
        <w:pStyle w:val="11"/>
        <w:keepNext w:val="0"/>
        <w:keepLines w:val="0"/>
        <w:pageBreakBefore w:val="0"/>
        <w:widowControl w:val="0"/>
        <w:kinsoku/>
        <w:wordWrap/>
        <w:overflowPunct/>
        <w:topLinePunct w:val="0"/>
        <w:bidi w:val="0"/>
        <w:snapToGrid/>
        <w:ind w:firstLine="640" w:firstLineChars="200"/>
        <w:textAlignment w:val="auto"/>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2、公务接待费支出决算为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w:t>
      </w:r>
      <w:r>
        <w:rPr>
          <w:rFonts w:hint="eastAsia" w:asciiTheme="minorEastAsia" w:hAnsiTheme="minorEastAsia" w:eastAsiaTheme="minorEastAsia"/>
          <w:color w:val="000000" w:themeColor="text1"/>
          <w:sz w:val="32"/>
          <w:szCs w:val="32"/>
          <w14:textFill>
            <w14:solidFill>
              <w14:schemeClr w14:val="tx1"/>
            </w14:solidFill>
          </w14:textFill>
        </w:rPr>
        <w:t>万元，全年共接待来宾</w:t>
      </w:r>
      <w:r>
        <w:rPr>
          <w:rFonts w:hint="eastAsia" w:asciiTheme="minorEastAsia" w:hAnsiTheme="minorEastAsia" w:eastAsiaTheme="minorEastAsia"/>
          <w:color w:val="000000" w:themeColor="text1"/>
          <w:sz w:val="32"/>
          <w:szCs w:val="32"/>
          <w:highlight w:val="none"/>
          <w:lang w:val="en-US" w:eastAsia="zh-CN"/>
          <w14:textFill>
            <w14:solidFill>
              <w14:schemeClr w14:val="tx1"/>
            </w14:solidFill>
          </w14:textFill>
        </w:rPr>
        <w:t>74</w:t>
      </w:r>
      <w:r>
        <w:rPr>
          <w:rFonts w:hint="eastAsia" w:asciiTheme="minorEastAsia" w:hAnsiTheme="minorEastAsia" w:eastAsiaTheme="minorEastAsia"/>
          <w:color w:val="000000" w:themeColor="text1"/>
          <w:sz w:val="32"/>
          <w:szCs w:val="32"/>
          <w14:textFill>
            <w14:solidFill>
              <w14:schemeClr w14:val="tx1"/>
            </w14:solidFill>
          </w14:textFill>
        </w:rPr>
        <w:t>人次，主要是</w:t>
      </w:r>
      <w:r>
        <w:rPr>
          <w:rFonts w:hint="eastAsia" w:asciiTheme="minorEastAsia" w:hAnsiTheme="minorEastAsia" w:eastAsiaTheme="minorEastAsia"/>
          <w:color w:val="000000" w:themeColor="text1"/>
          <w:sz w:val="32"/>
          <w:szCs w:val="32"/>
          <w:lang w:eastAsia="zh-CN"/>
          <w14:textFill>
            <w14:solidFill>
              <w14:schemeClr w14:val="tx1"/>
            </w14:solidFill>
          </w14:textFill>
        </w:rPr>
        <w:t>最高检中部地区调研、未检工作交流学习</w:t>
      </w:r>
      <w:r>
        <w:rPr>
          <w:rFonts w:hint="eastAsia" w:asciiTheme="minorEastAsia" w:hAnsiTheme="minorEastAsia" w:eastAsiaTheme="minorEastAsia"/>
          <w:color w:val="000000" w:themeColor="text1"/>
          <w:sz w:val="32"/>
          <w:szCs w:val="32"/>
          <w14:textFill>
            <w14:solidFill>
              <w14:schemeClr w14:val="tx1"/>
            </w14:solidFill>
          </w14:textFill>
        </w:rPr>
        <w:t>发生的接待支出。</w:t>
      </w:r>
    </w:p>
    <w:p>
      <w:pPr>
        <w:keepNext w:val="0"/>
        <w:keepLines w:val="0"/>
        <w:pageBreakBefore w:val="0"/>
        <w:widowControl w:val="0"/>
        <w:kinsoku/>
        <w:wordWrap/>
        <w:overflowPunct/>
        <w:topLinePunct w:val="0"/>
        <w:bidi w:val="0"/>
        <w:snapToGrid/>
        <w:ind w:firstLine="640" w:firstLineChars="200"/>
        <w:textAlignment w:val="auto"/>
        <w:rPr>
          <w:rFonts w:cs="黑体" w:asciiTheme="minorEastAsia" w:hAnsiTheme="minorEastAsia"/>
          <w:color w:val="000000" w:themeColor="text1"/>
          <w:kern w:val="0"/>
          <w:sz w:val="32"/>
          <w:szCs w:val="32"/>
          <w14:textFill>
            <w14:solidFill>
              <w14:schemeClr w14:val="tx1"/>
            </w14:solidFill>
          </w14:textFill>
        </w:rPr>
      </w:pPr>
      <w:r>
        <w:rPr>
          <w:rFonts w:hint="eastAsia" w:asciiTheme="minorEastAsia" w:hAnsiTheme="minorEastAsia"/>
          <w:color w:val="000000" w:themeColor="text1"/>
          <w:sz w:val="32"/>
          <w:szCs w:val="32"/>
          <w14:textFill>
            <w14:solidFill>
              <w14:schemeClr w14:val="tx1"/>
            </w14:solidFill>
          </w14:textFill>
        </w:rPr>
        <w:t>3、公务用车购置费及运行维护费支出决算为</w:t>
      </w:r>
      <w:r>
        <w:rPr>
          <w:rFonts w:hint="eastAsia" w:asciiTheme="minorEastAsia" w:hAnsiTheme="minorEastAsia"/>
          <w:color w:val="000000" w:themeColor="text1"/>
          <w:sz w:val="32"/>
          <w:szCs w:val="32"/>
          <w:lang w:val="en-US" w:eastAsia="zh-CN"/>
          <w14:textFill>
            <w14:solidFill>
              <w14:schemeClr w14:val="tx1"/>
            </w14:solidFill>
          </w14:textFill>
        </w:rPr>
        <w:t>25</w:t>
      </w:r>
      <w:r>
        <w:rPr>
          <w:rFonts w:hint="eastAsia" w:asciiTheme="minorEastAsia" w:hAnsiTheme="minorEastAsia"/>
          <w:color w:val="000000" w:themeColor="text1"/>
          <w:sz w:val="32"/>
          <w:szCs w:val="32"/>
          <w14:textFill>
            <w14:solidFill>
              <w14:schemeClr w14:val="tx1"/>
            </w14:solidFill>
          </w14:textFill>
        </w:rPr>
        <w:t>万元，其中：公务用车购置费</w:t>
      </w:r>
      <w:r>
        <w:rPr>
          <w:rFonts w:hint="eastAsia" w:asciiTheme="minorEastAsia" w:hAnsiTheme="minorEastAsia"/>
          <w:color w:val="000000" w:themeColor="text1"/>
          <w:sz w:val="32"/>
          <w:szCs w:val="32"/>
          <w:lang w:val="en-US" w:eastAsia="zh-CN"/>
          <w14:textFill>
            <w14:solidFill>
              <w14:schemeClr w14:val="tx1"/>
            </w14:solidFill>
          </w14:textFill>
        </w:rPr>
        <w:t>0</w:t>
      </w:r>
      <w:r>
        <w:rPr>
          <w:rFonts w:hint="eastAsia" w:asciiTheme="minorEastAsia" w:hAnsiTheme="minorEastAsia"/>
          <w:color w:val="000000" w:themeColor="text1"/>
          <w:sz w:val="32"/>
          <w:szCs w:val="32"/>
          <w14:textFill>
            <w14:solidFill>
              <w14:schemeClr w14:val="tx1"/>
            </w14:solidFill>
          </w14:textFill>
        </w:rPr>
        <w:t>万元</w:t>
      </w:r>
      <w:r>
        <w:rPr>
          <w:rFonts w:hint="eastAsia" w:asciiTheme="minorEastAsia" w:hAnsiTheme="minorEastAsia"/>
          <w:color w:val="000000" w:themeColor="text1"/>
          <w:sz w:val="32"/>
          <w:szCs w:val="32"/>
          <w:lang w:eastAsia="zh-CN"/>
          <w14:textFill>
            <w14:solidFill>
              <w14:schemeClr w14:val="tx1"/>
            </w14:solidFill>
          </w14:textFill>
        </w:rPr>
        <w:t>，本年度未更新公务用车。</w:t>
      </w:r>
      <w:r>
        <w:rPr>
          <w:rFonts w:hint="eastAsia" w:asciiTheme="minorEastAsia" w:hAnsiTheme="minorEastAsia"/>
          <w:color w:val="000000" w:themeColor="text1"/>
          <w:sz w:val="32"/>
          <w:szCs w:val="32"/>
          <w14:textFill>
            <w14:solidFill>
              <w14:schemeClr w14:val="tx1"/>
            </w14:solidFill>
          </w14:textFill>
        </w:rPr>
        <w:t>公务用车运行维护费</w:t>
      </w:r>
      <w:r>
        <w:rPr>
          <w:rFonts w:hint="eastAsia" w:asciiTheme="minorEastAsia" w:hAnsiTheme="minorEastAsia"/>
          <w:color w:val="000000" w:themeColor="text1"/>
          <w:sz w:val="32"/>
          <w:szCs w:val="32"/>
          <w:lang w:val="en-US" w:eastAsia="zh-CN"/>
          <w14:textFill>
            <w14:solidFill>
              <w14:schemeClr w14:val="tx1"/>
            </w14:solidFill>
          </w14:textFill>
        </w:rPr>
        <w:t>25</w:t>
      </w:r>
      <w:r>
        <w:rPr>
          <w:rFonts w:hint="eastAsia" w:asciiTheme="minorEastAsia" w:hAnsiTheme="minorEastAsia"/>
          <w:color w:val="000000" w:themeColor="text1"/>
          <w:sz w:val="32"/>
          <w:szCs w:val="32"/>
          <w14:textFill>
            <w14:solidFill>
              <w14:schemeClr w14:val="tx1"/>
            </w14:solidFill>
          </w14:textFill>
        </w:rPr>
        <w:t>万元，主要</w:t>
      </w:r>
      <w:r>
        <w:rPr>
          <w:rFonts w:hint="eastAsia" w:asciiTheme="minorEastAsia" w:hAnsiTheme="minorEastAsia"/>
          <w:color w:val="000000" w:themeColor="text1"/>
          <w:sz w:val="32"/>
          <w:szCs w:val="32"/>
          <w:lang w:eastAsia="zh-CN"/>
          <w14:textFill>
            <w14:solidFill>
              <w14:schemeClr w14:val="tx1"/>
            </w14:solidFill>
          </w14:textFill>
        </w:rPr>
        <w:t>是车辆维修及保险费用</w:t>
      </w:r>
      <w:r>
        <w:rPr>
          <w:rFonts w:hint="eastAsia" w:asciiTheme="minorEastAsia" w:hAnsiTheme="minorEastAsia"/>
          <w:color w:val="000000" w:themeColor="text1"/>
          <w:sz w:val="32"/>
          <w:szCs w:val="32"/>
          <w14:textFill>
            <w14:solidFill>
              <w14:schemeClr w14:val="tx1"/>
            </w14:solidFill>
          </w14:textFill>
        </w:rPr>
        <w:t>支出，截止2021年12月31日，</w:t>
      </w:r>
      <w:r>
        <w:rPr>
          <w:rFonts w:hint="eastAsia" w:asciiTheme="minorEastAsia" w:hAnsiTheme="minorEastAsia"/>
          <w:color w:val="000000" w:themeColor="text1"/>
          <w:sz w:val="32"/>
          <w:szCs w:val="32"/>
          <w:lang w:eastAsia="zh-CN"/>
          <w14:textFill>
            <w14:solidFill>
              <w14:schemeClr w14:val="tx1"/>
            </w14:solidFill>
          </w14:textFill>
        </w:rPr>
        <w:t>本部门</w:t>
      </w:r>
      <w:r>
        <w:rPr>
          <w:rFonts w:hint="eastAsia" w:asciiTheme="minorEastAsia" w:hAnsiTheme="minorEastAsia"/>
          <w:color w:val="000000" w:themeColor="text1"/>
          <w:sz w:val="32"/>
          <w:szCs w:val="32"/>
          <w14:textFill>
            <w14:solidFill>
              <w14:schemeClr w14:val="tx1"/>
            </w14:solidFill>
          </w14:textFill>
        </w:rPr>
        <w:t>开支财政拨款的公务用车保有量为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7</w:t>
      </w:r>
      <w:r>
        <w:rPr>
          <w:rFonts w:hint="eastAsia" w:asciiTheme="minorEastAsia" w:hAnsiTheme="minorEastAsia"/>
          <w:color w:val="000000" w:themeColor="text1"/>
          <w:sz w:val="32"/>
          <w:szCs w:val="32"/>
          <w14:textFill>
            <w14:solidFill>
              <w14:schemeClr w14:val="tx1"/>
            </w14:solidFill>
          </w14:textFill>
        </w:rPr>
        <w:t>辆。</w:t>
      </w:r>
    </w:p>
    <w:p>
      <w:pPr>
        <w:pStyle w:val="11"/>
        <w:keepNext w:val="0"/>
        <w:keepLines w:val="0"/>
        <w:pageBreakBefore w:val="0"/>
        <w:widowControl w:val="0"/>
        <w:kinsoku/>
        <w:wordWrap/>
        <w:overflowPunct/>
        <w:topLinePunct w:val="0"/>
        <w:bidi w:val="0"/>
        <w:snapToGrid/>
        <w:textAlignment w:val="auto"/>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八、政府性基金预算收入支出决算情况</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Theme="minorEastAsia" w:hAnsiTheme="minorEastAsia" w:eastAsiaTheme="minorEastAsia"/>
          <w:i/>
          <w:color w:val="000000" w:themeColor="text1"/>
          <w:sz w:val="32"/>
          <w:szCs w:val="32"/>
          <w:lang w:eastAsia="zh-CN"/>
          <w14:textFill>
            <w14:solidFill>
              <w14:schemeClr w14:val="tx1"/>
            </w14:solidFill>
          </w14:textFill>
        </w:rPr>
      </w:pPr>
      <w:r>
        <w:rPr>
          <w:rFonts w:hint="eastAsia" w:asciiTheme="minorEastAsia" w:hAnsiTheme="minorEastAsia" w:eastAsiaTheme="minorEastAsia"/>
          <w:color w:val="000000" w:themeColor="text1"/>
          <w:sz w:val="32"/>
          <w:szCs w:val="32"/>
          <w:lang w:eastAsia="zh-CN"/>
          <w14:textFill>
            <w14:solidFill>
              <w14:schemeClr w14:val="tx1"/>
            </w14:solidFill>
          </w14:textFill>
        </w:rPr>
        <w:t>本部门无</w:t>
      </w:r>
      <w:r>
        <w:rPr>
          <w:rFonts w:hint="eastAsia" w:asciiTheme="minorEastAsia" w:hAnsiTheme="minorEastAsia" w:eastAsiaTheme="minorEastAsia"/>
          <w:color w:val="000000" w:themeColor="text1"/>
          <w:sz w:val="32"/>
          <w:szCs w:val="32"/>
          <w14:textFill>
            <w14:solidFill>
              <w14:schemeClr w14:val="tx1"/>
            </w14:solidFill>
          </w14:textFill>
        </w:rPr>
        <w:t>政府性基金</w:t>
      </w:r>
      <w:r>
        <w:rPr>
          <w:rFonts w:hint="eastAsia" w:asciiTheme="minorEastAsia" w:hAnsiTheme="minorEastAsia" w:eastAsiaTheme="minorEastAsia"/>
          <w:color w:val="000000" w:themeColor="text1"/>
          <w:sz w:val="32"/>
          <w:szCs w:val="32"/>
          <w:lang w:eastAsia="zh-CN"/>
          <w14:textFill>
            <w14:solidFill>
              <w14:schemeClr w14:val="tx1"/>
            </w14:solidFill>
          </w14:textFill>
        </w:rPr>
        <w:t>收支。</w:t>
      </w:r>
    </w:p>
    <w:p>
      <w:pPr>
        <w:pStyle w:val="11"/>
        <w:keepNext w:val="0"/>
        <w:keepLines w:val="0"/>
        <w:pageBreakBefore w:val="0"/>
        <w:widowControl w:val="0"/>
        <w:kinsoku/>
        <w:wordWrap/>
        <w:overflowPunct/>
        <w:topLinePunct w:val="0"/>
        <w:bidi w:val="0"/>
        <w:snapToGrid/>
        <w:textAlignment w:val="auto"/>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九、机关运行经费支出说明</w:t>
      </w:r>
    </w:p>
    <w:p>
      <w:pPr>
        <w:pStyle w:val="11"/>
        <w:keepNext w:val="0"/>
        <w:keepLines w:val="0"/>
        <w:pageBreakBefore w:val="0"/>
        <w:widowControl w:val="0"/>
        <w:kinsoku/>
        <w:wordWrap/>
        <w:overflowPunct/>
        <w:topLinePunct w:val="0"/>
        <w:bidi w:val="0"/>
        <w:snapToGrid/>
        <w:ind w:firstLine="640" w:firstLineChars="200"/>
        <w:textAlignment w:val="auto"/>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本部门2021年度机关运行经费支出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490</w:t>
      </w:r>
      <w:r>
        <w:rPr>
          <w:rFonts w:hint="eastAsia" w:asciiTheme="minorEastAsia" w:hAnsiTheme="minorEastAsia" w:eastAsiaTheme="minorEastAsia"/>
          <w:color w:val="000000" w:themeColor="text1"/>
          <w:sz w:val="32"/>
          <w:szCs w:val="32"/>
          <w14:textFill>
            <w14:solidFill>
              <w14:schemeClr w14:val="tx1"/>
            </w14:solidFill>
          </w14:textFill>
        </w:rPr>
        <w:t>万元，比上年决算数减少</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43.47</w:t>
      </w:r>
      <w:r>
        <w:rPr>
          <w:rFonts w:hint="eastAsia" w:asciiTheme="minorEastAsia" w:hAnsiTheme="minorEastAsia" w:eastAsiaTheme="minorEastAsia"/>
          <w:color w:val="000000" w:themeColor="text1"/>
          <w:sz w:val="32"/>
          <w:szCs w:val="32"/>
          <w14:textFill>
            <w14:solidFill>
              <w14:schemeClr w14:val="tx1"/>
            </w14:solidFill>
          </w14:textFill>
        </w:rPr>
        <w:t xml:space="preserve"> 万元，降低</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8.15</w:t>
      </w:r>
      <w:r>
        <w:rPr>
          <w:rFonts w:hint="eastAsia" w:asciiTheme="minorEastAsia" w:hAnsiTheme="minorEastAsia" w:eastAsiaTheme="minorEastAsia"/>
          <w:color w:val="000000" w:themeColor="text1"/>
          <w:sz w:val="32"/>
          <w:szCs w:val="32"/>
          <w14:textFill>
            <w14:solidFill>
              <w14:schemeClr w14:val="tx1"/>
            </w14:solidFill>
          </w14:textFill>
        </w:rPr>
        <w:t>%。主要原因是：</w:t>
      </w:r>
      <w:r>
        <w:rPr>
          <w:rFonts w:hint="eastAsia" w:asciiTheme="minorEastAsia" w:hAnsiTheme="minorEastAsia" w:eastAsiaTheme="minorEastAsia"/>
          <w:color w:val="000000" w:themeColor="text1"/>
          <w:sz w:val="32"/>
          <w:szCs w:val="32"/>
          <w:lang w:eastAsia="zh-CN"/>
          <w14:textFill>
            <w14:solidFill>
              <w14:schemeClr w14:val="tx1"/>
            </w14:solidFill>
          </w14:textFill>
        </w:rPr>
        <w:t>落实中央和省委过“紧”日子的政策要求，压减一般性支出</w:t>
      </w:r>
      <w:r>
        <w:rPr>
          <w:rFonts w:hint="eastAsia" w:asciiTheme="minorEastAsia" w:hAnsiTheme="minorEastAsia" w:eastAsiaTheme="minorEastAsia"/>
          <w:color w:val="000000" w:themeColor="text1"/>
          <w:sz w:val="32"/>
          <w:szCs w:val="32"/>
          <w14:textFill>
            <w14:solidFill>
              <w14:schemeClr w14:val="tx1"/>
            </w14:solidFill>
          </w14:textFill>
        </w:rPr>
        <w:t>。</w:t>
      </w:r>
    </w:p>
    <w:p>
      <w:pPr>
        <w:pStyle w:val="11"/>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十、一般性支出情况说明</w:t>
      </w:r>
    </w:p>
    <w:p>
      <w:pPr>
        <w:pStyle w:val="11"/>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2021年本部门</w:t>
      </w:r>
      <w:r>
        <w:rPr>
          <w:rFonts w:hint="eastAsia" w:asciiTheme="minorEastAsia" w:hAnsiTheme="minorEastAsia" w:eastAsiaTheme="minorEastAsia"/>
          <w:color w:val="000000" w:themeColor="text1"/>
          <w:sz w:val="32"/>
          <w:szCs w:val="32"/>
          <w:lang w:eastAsia="zh-CN"/>
          <w14:textFill>
            <w14:solidFill>
              <w14:schemeClr w14:val="tx1"/>
            </w14:solidFill>
          </w14:textFill>
        </w:rPr>
        <w:t>会议费预算为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0万元</w:t>
      </w:r>
      <w:r>
        <w:rPr>
          <w:rFonts w:hint="eastAsia" w:asciiTheme="minorEastAsia" w:hAnsiTheme="minorEastAsia" w:eastAsiaTheme="minorEastAsia"/>
          <w:color w:val="000000" w:themeColor="text1"/>
          <w:sz w:val="32"/>
          <w:szCs w:val="32"/>
          <w:lang w:eastAsia="zh-CN"/>
          <w14:textFill>
            <w14:solidFill>
              <w14:schemeClr w14:val="tx1"/>
            </w14:solidFill>
          </w14:textFill>
        </w:rPr>
        <w:t>，支出决算为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0万元</w:t>
      </w:r>
      <w:r>
        <w:rPr>
          <w:rFonts w:hint="eastAsia" w:asciiTheme="minorEastAsia" w:hAnsiTheme="minorEastAsia" w:eastAsiaTheme="minorEastAsia"/>
          <w:color w:val="000000" w:themeColor="text1"/>
          <w:sz w:val="32"/>
          <w:szCs w:val="32"/>
          <w14:textFill>
            <w14:solidFill>
              <w14:schemeClr w14:val="tx1"/>
            </w14:solidFill>
          </w14:textFill>
        </w:rPr>
        <w:t>；</w:t>
      </w:r>
      <w:r>
        <w:rPr>
          <w:rFonts w:hint="eastAsia" w:asciiTheme="minorEastAsia" w:hAnsiTheme="minorEastAsia" w:eastAsiaTheme="minorEastAsia"/>
          <w:color w:val="000000" w:themeColor="text1"/>
          <w:sz w:val="32"/>
          <w:szCs w:val="32"/>
          <w:lang w:eastAsia="zh-CN"/>
          <w14:textFill>
            <w14:solidFill>
              <w14:schemeClr w14:val="tx1"/>
            </w14:solidFill>
          </w14:textFill>
        </w:rPr>
        <w:t>培训费预算为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6万元</w:t>
      </w:r>
      <w:r>
        <w:rPr>
          <w:rFonts w:hint="eastAsia" w:asciiTheme="minorEastAsia" w:hAnsiTheme="minorEastAsia" w:eastAsiaTheme="minorEastAsia"/>
          <w:color w:val="000000" w:themeColor="text1"/>
          <w:sz w:val="32"/>
          <w:szCs w:val="32"/>
          <w:lang w:eastAsia="zh-CN"/>
          <w14:textFill>
            <w14:solidFill>
              <w14:schemeClr w14:val="tx1"/>
            </w14:solidFill>
          </w14:textFill>
        </w:rPr>
        <w:t>，支出决算为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6</w:t>
      </w:r>
      <w:r>
        <w:rPr>
          <w:rFonts w:hint="eastAsia" w:asciiTheme="minorEastAsia" w:hAnsiTheme="minorEastAsia" w:eastAsiaTheme="minorEastAsia"/>
          <w:color w:val="000000" w:themeColor="text1"/>
          <w:sz w:val="32"/>
          <w:szCs w:val="32"/>
          <w14:textFill>
            <w14:solidFill>
              <w14:schemeClr w14:val="tx1"/>
            </w14:solidFill>
          </w14:textFill>
        </w:rPr>
        <w:t>万元，</w:t>
      </w:r>
      <w:r>
        <w:rPr>
          <w:rFonts w:hint="eastAsia" w:asciiTheme="minorEastAsia" w:hAnsiTheme="minorEastAsia" w:eastAsiaTheme="minorEastAsia"/>
          <w:color w:val="000000" w:themeColor="text1"/>
          <w:sz w:val="32"/>
          <w:szCs w:val="32"/>
          <w:lang w:eastAsia="zh-CN"/>
          <w14:textFill>
            <w14:solidFill>
              <w14:schemeClr w14:val="tx1"/>
            </w14:solidFill>
          </w14:textFill>
        </w:rPr>
        <w:t>完成预算的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100%，</w:t>
      </w:r>
      <w:r>
        <w:rPr>
          <w:rFonts w:hint="eastAsia" w:asciiTheme="minorEastAsia" w:hAnsiTheme="minorEastAsia" w:eastAsiaTheme="minorEastAsia"/>
          <w:color w:val="000000" w:themeColor="text1"/>
          <w:sz w:val="32"/>
          <w:szCs w:val="32"/>
          <w14:textFill>
            <w14:solidFill>
              <w14:schemeClr w14:val="tx1"/>
            </w14:solidFill>
          </w14:textFill>
        </w:rPr>
        <w:t>用于</w:t>
      </w:r>
      <w:r>
        <w:rPr>
          <w:rFonts w:hint="eastAsia" w:asciiTheme="minorEastAsia" w:hAnsiTheme="minorEastAsia" w:eastAsiaTheme="minorEastAsia"/>
          <w:color w:val="000000" w:themeColor="text1"/>
          <w:sz w:val="32"/>
          <w:szCs w:val="32"/>
          <w:lang w:eastAsia="zh-CN"/>
          <w14:textFill>
            <w14:solidFill>
              <w14:schemeClr w14:val="tx1"/>
            </w14:solidFill>
          </w14:textFill>
        </w:rPr>
        <w:t>参加上级组织的</w:t>
      </w:r>
      <w:r>
        <w:rPr>
          <w:rFonts w:hint="eastAsia" w:asciiTheme="minorEastAsia" w:hAnsiTheme="minorEastAsia" w:eastAsiaTheme="minorEastAsia"/>
          <w:color w:val="000000" w:themeColor="text1"/>
          <w:sz w:val="32"/>
          <w:szCs w:val="32"/>
          <w14:textFill>
            <w14:solidFill>
              <w14:schemeClr w14:val="tx1"/>
            </w14:solidFill>
          </w14:textFill>
        </w:rPr>
        <w:t>培训，人数</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59</w:t>
      </w:r>
      <w:r>
        <w:rPr>
          <w:rFonts w:hint="eastAsia" w:asciiTheme="minorEastAsia" w:hAnsiTheme="minorEastAsia" w:eastAsiaTheme="minorEastAsia"/>
          <w:color w:val="000000" w:themeColor="text1"/>
          <w:sz w:val="32"/>
          <w:szCs w:val="32"/>
          <w14:textFill>
            <w14:solidFill>
              <w14:schemeClr w14:val="tx1"/>
            </w14:solidFill>
          </w14:textFill>
        </w:rPr>
        <w:t>人，内容为</w:t>
      </w:r>
      <w:r>
        <w:rPr>
          <w:rFonts w:hint="eastAsia" w:asciiTheme="minorEastAsia" w:hAnsiTheme="minorEastAsia" w:eastAsiaTheme="minorEastAsia"/>
          <w:color w:val="000000" w:themeColor="text1"/>
          <w:sz w:val="32"/>
          <w:szCs w:val="32"/>
          <w:lang w:eastAsia="zh-CN"/>
          <w14:textFill>
            <w14:solidFill>
              <w14:schemeClr w14:val="tx1"/>
            </w14:solidFill>
          </w14:textFill>
        </w:rPr>
        <w:t>检察业务培训</w:t>
      </w:r>
      <w:r>
        <w:rPr>
          <w:rFonts w:hint="eastAsia" w:asciiTheme="minorEastAsia" w:hAnsiTheme="minorEastAsia" w:eastAsiaTheme="minorEastAsia"/>
          <w:color w:val="000000" w:themeColor="text1"/>
          <w:sz w:val="32"/>
          <w:szCs w:val="32"/>
          <w14:textFill>
            <w14:solidFill>
              <w14:schemeClr w14:val="tx1"/>
            </w14:solidFill>
          </w14:textFill>
        </w:rPr>
        <w:t>；举办节庆、晚会、论坛、赛事活动0次，开支0万元</w:t>
      </w:r>
      <w:r>
        <w:rPr>
          <w:rFonts w:hint="eastAsia" w:asciiTheme="minorEastAsia" w:hAnsiTheme="minorEastAsia" w:eastAsiaTheme="minorEastAsia"/>
          <w:color w:val="000000" w:themeColor="text1"/>
          <w:sz w:val="32"/>
          <w:szCs w:val="32"/>
          <w:lang w:eastAsia="zh-CN"/>
          <w14:textFill>
            <w14:solidFill>
              <w14:schemeClr w14:val="tx1"/>
            </w14:solidFill>
          </w14:textFill>
        </w:rPr>
        <w:t>。</w:t>
      </w:r>
    </w:p>
    <w:p>
      <w:pPr>
        <w:pStyle w:val="11"/>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十一、政府采购支出说明</w:t>
      </w:r>
    </w:p>
    <w:p>
      <w:pPr>
        <w:pStyle w:val="11"/>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本部门2021年度政府采购支出总额</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277.9</w:t>
      </w:r>
      <w:r>
        <w:rPr>
          <w:rFonts w:hint="eastAsia" w:asciiTheme="minorEastAsia" w:hAnsiTheme="minorEastAsia" w:eastAsiaTheme="minorEastAsia"/>
          <w:color w:val="000000" w:themeColor="text1"/>
          <w:sz w:val="32"/>
          <w:szCs w:val="32"/>
          <w14:textFill>
            <w14:solidFill>
              <w14:schemeClr w14:val="tx1"/>
            </w14:solidFill>
          </w14:textFill>
        </w:rPr>
        <w:t>万元，其中：政府采购货物支出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219.5</w:t>
      </w:r>
      <w:r>
        <w:rPr>
          <w:rFonts w:hint="eastAsia" w:asciiTheme="minorEastAsia" w:hAnsiTheme="minorEastAsia" w:eastAsiaTheme="minorEastAsia"/>
          <w:color w:val="000000" w:themeColor="text1"/>
          <w:sz w:val="32"/>
          <w:szCs w:val="32"/>
          <w14:textFill>
            <w14:solidFill>
              <w14:schemeClr w14:val="tx1"/>
            </w14:solidFill>
          </w14:textFill>
        </w:rPr>
        <w:t>万元、政府采购工程支出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万元、政府采购服务支出</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58.4</w:t>
      </w:r>
      <w:r>
        <w:rPr>
          <w:rFonts w:hint="eastAsia" w:asciiTheme="minorEastAsia" w:hAnsiTheme="minorEastAsia" w:eastAsiaTheme="minorEastAsia"/>
          <w:color w:val="000000" w:themeColor="text1"/>
          <w:sz w:val="32"/>
          <w:szCs w:val="32"/>
          <w14:textFill>
            <w14:solidFill>
              <w14:schemeClr w14:val="tx1"/>
            </w14:solidFill>
          </w14:textFill>
        </w:rPr>
        <w:t>万元。授予中小企业合同金额</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259.3</w:t>
      </w:r>
      <w:r>
        <w:rPr>
          <w:rFonts w:hint="eastAsia" w:asciiTheme="minorEastAsia" w:hAnsiTheme="minorEastAsia" w:eastAsiaTheme="minorEastAsia"/>
          <w:color w:val="000000" w:themeColor="text1"/>
          <w:sz w:val="32"/>
          <w:szCs w:val="32"/>
          <w14:textFill>
            <w14:solidFill>
              <w14:schemeClr w14:val="tx1"/>
            </w14:solidFill>
          </w14:textFill>
        </w:rPr>
        <w:t>万元，占政府采购支出总额的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93.3</w:t>
      </w:r>
      <w:r>
        <w:rPr>
          <w:rFonts w:hint="eastAsia" w:asciiTheme="minorEastAsia" w:hAnsiTheme="minorEastAsia" w:eastAsiaTheme="minorEastAsia"/>
          <w:color w:val="000000" w:themeColor="text1"/>
          <w:sz w:val="32"/>
          <w:szCs w:val="32"/>
          <w14:textFill>
            <w14:solidFill>
              <w14:schemeClr w14:val="tx1"/>
            </w14:solidFill>
          </w14:textFill>
        </w:rPr>
        <w:t>%，其中：授予小微企业合同金额</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20.1</w:t>
      </w:r>
      <w:r>
        <w:rPr>
          <w:rFonts w:hint="eastAsia" w:asciiTheme="minorEastAsia" w:hAnsiTheme="minorEastAsia" w:eastAsiaTheme="minorEastAsia"/>
          <w:color w:val="000000" w:themeColor="text1"/>
          <w:sz w:val="32"/>
          <w:szCs w:val="32"/>
          <w14:textFill>
            <w14:solidFill>
              <w14:schemeClr w14:val="tx1"/>
            </w14:solidFill>
          </w14:textFill>
        </w:rPr>
        <w:t>万元，占授予中小企业合同金额的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7.8</w:t>
      </w:r>
      <w:r>
        <w:rPr>
          <w:rFonts w:hint="eastAsia" w:asciiTheme="minorEastAsia" w:hAnsiTheme="minorEastAsia" w:eastAsiaTheme="minorEastAsia"/>
          <w:color w:val="000000" w:themeColor="text1"/>
          <w:sz w:val="32"/>
          <w:szCs w:val="32"/>
          <w14:textFill>
            <w14:solidFill>
              <w14:schemeClr w14:val="tx1"/>
            </w14:solidFill>
          </w14:textFill>
        </w:rPr>
        <w:t>%；货物采购授予中小企业合同金额占货物支出金额的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84.7</w:t>
      </w:r>
      <w:r>
        <w:rPr>
          <w:rFonts w:hint="eastAsia" w:asciiTheme="minorEastAsia" w:hAnsiTheme="minorEastAsia" w:eastAsiaTheme="minorEastAsia"/>
          <w:color w:val="000000" w:themeColor="text1"/>
          <w:sz w:val="32"/>
          <w:szCs w:val="32"/>
          <w14:textFill>
            <w14:solidFill>
              <w14:schemeClr w14:val="tx1"/>
            </w14:solidFill>
          </w14:textFill>
        </w:rPr>
        <w:t>%，工程采购授予中小企业合同金额占工程支出金额的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0</w:t>
      </w:r>
      <w:r>
        <w:rPr>
          <w:rFonts w:hint="eastAsia" w:asciiTheme="minorEastAsia" w:hAnsiTheme="minorEastAsia" w:eastAsiaTheme="minorEastAsia"/>
          <w:color w:val="000000" w:themeColor="text1"/>
          <w:sz w:val="32"/>
          <w:szCs w:val="32"/>
          <w14:textFill>
            <w14:solidFill>
              <w14:schemeClr w14:val="tx1"/>
            </w14:solidFill>
          </w14:textFill>
        </w:rPr>
        <w:t>%，服务采购授予中小企业合同金额占服务支出金额的</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15.3</w:t>
      </w:r>
      <w:r>
        <w:rPr>
          <w:rFonts w:hint="eastAsia" w:asciiTheme="minorEastAsia" w:hAnsiTheme="minorEastAsia" w:eastAsiaTheme="minorEastAsia"/>
          <w:color w:val="000000" w:themeColor="text1"/>
          <w:sz w:val="32"/>
          <w:szCs w:val="32"/>
          <w14:textFill>
            <w14:solidFill>
              <w14:schemeClr w14:val="tx1"/>
            </w14:solidFill>
          </w14:textFill>
        </w:rPr>
        <w:t>%。</w:t>
      </w:r>
    </w:p>
    <w:p>
      <w:pPr>
        <w:pStyle w:val="11"/>
        <w:rPr>
          <w:rFonts w:hAnsi="黑体"/>
          <w:b/>
          <w:color w:val="000000" w:themeColor="text1"/>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十二、国有资产占用情况说明</w:t>
      </w:r>
    </w:p>
    <w:p>
      <w:pPr>
        <w:pStyle w:val="11"/>
        <w:ind w:firstLine="640" w:firstLineChars="200"/>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14:textFill>
            <w14:solidFill>
              <w14:schemeClr w14:val="tx1"/>
            </w14:solidFill>
          </w14:textFill>
        </w:rPr>
        <w:t>截至2021年12月31日，</w:t>
      </w:r>
      <w:r>
        <w:rPr>
          <w:rFonts w:hint="eastAsia" w:asciiTheme="minorEastAsia" w:hAnsiTheme="minorEastAsia" w:eastAsiaTheme="minorEastAsia"/>
          <w:color w:val="000000" w:themeColor="text1"/>
          <w:sz w:val="32"/>
          <w:szCs w:val="32"/>
          <w:lang w:eastAsia="zh-CN"/>
          <w14:textFill>
            <w14:solidFill>
              <w14:schemeClr w14:val="tx1"/>
            </w14:solidFill>
          </w14:textFill>
        </w:rPr>
        <w:t>本部门</w:t>
      </w:r>
      <w:r>
        <w:rPr>
          <w:rFonts w:hint="eastAsia" w:asciiTheme="minorEastAsia" w:hAnsiTheme="minorEastAsia" w:eastAsiaTheme="minorEastAsia"/>
          <w:color w:val="000000" w:themeColor="text1"/>
          <w:sz w:val="32"/>
          <w:szCs w:val="32"/>
          <w14:textFill>
            <w14:solidFill>
              <w14:schemeClr w14:val="tx1"/>
            </w14:solidFill>
          </w14:textFill>
        </w:rPr>
        <w:t>共有车辆</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7</w:t>
      </w:r>
      <w:r>
        <w:rPr>
          <w:rFonts w:hint="eastAsia" w:asciiTheme="minorEastAsia" w:hAnsiTheme="minorEastAsia" w:eastAsiaTheme="minorEastAsia"/>
          <w:color w:val="000000" w:themeColor="text1"/>
          <w:sz w:val="32"/>
          <w:szCs w:val="32"/>
          <w14:textFill>
            <w14:solidFill>
              <w14:schemeClr w14:val="tx1"/>
            </w14:solidFill>
          </w14:textFill>
        </w:rPr>
        <w:t>辆，其中，领导干部用车0辆、机要通信用车0辆、应急保障用车0辆、执法执勤用车</w:t>
      </w:r>
      <w:r>
        <w:rPr>
          <w:rFonts w:hint="eastAsia" w:asciiTheme="minorEastAsia" w:hAnsiTheme="minorEastAsia" w:eastAsiaTheme="minorEastAsia"/>
          <w:color w:val="000000" w:themeColor="text1"/>
          <w:sz w:val="32"/>
          <w:szCs w:val="32"/>
          <w:lang w:val="en-US" w:eastAsia="zh-CN"/>
          <w14:textFill>
            <w14:solidFill>
              <w14:schemeClr w14:val="tx1"/>
            </w14:solidFill>
          </w14:textFill>
        </w:rPr>
        <w:t>7</w:t>
      </w:r>
      <w:r>
        <w:rPr>
          <w:rFonts w:hint="eastAsia" w:asciiTheme="minorEastAsia" w:hAnsiTheme="minorEastAsia" w:eastAsiaTheme="minorEastAsia"/>
          <w:color w:val="000000" w:themeColor="text1"/>
          <w:sz w:val="32"/>
          <w:szCs w:val="32"/>
          <w14:textFill>
            <w14:solidFill>
              <w14:schemeClr w14:val="tx1"/>
            </w14:solidFill>
          </w14:textFill>
        </w:rPr>
        <w:t>辆、特种专业技术用车0辆、其他用车0辆；单位价值50万元以上通用设备1台（套）；单位价值100万元以上专用设备0台（套）。</w:t>
      </w:r>
      <w:bookmarkStart w:id="2" w:name="_GoBack"/>
      <w:bookmarkEnd w:id="2"/>
    </w:p>
    <w:p>
      <w:pPr>
        <w:pStyle w:val="11"/>
        <w:rPr>
          <w:rFonts w:cs="黑体" w:asciiTheme="minorEastAsia" w:hAnsiTheme="minorEastAsia"/>
          <w:color w:val="000000" w:themeColor="text1"/>
          <w:kern w:val="0"/>
          <w:sz w:val="32"/>
          <w:szCs w:val="32"/>
          <w14:textFill>
            <w14:solidFill>
              <w14:schemeClr w14:val="tx1"/>
            </w14:solidFill>
          </w14:textFill>
        </w:rPr>
      </w:pPr>
      <w:r>
        <w:rPr>
          <w:rFonts w:hint="eastAsia" w:hAnsi="黑体"/>
          <w:b/>
          <w:color w:val="000000" w:themeColor="text1"/>
          <w:sz w:val="32"/>
          <w:szCs w:val="32"/>
          <w14:textFill>
            <w14:solidFill>
              <w14:schemeClr w14:val="tx1"/>
            </w14:solidFill>
          </w14:textFill>
        </w:rPr>
        <w:t>十三、2021年度预算绩效情况说明</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pPr>
      <w:r>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t>本部门2021年度绩效目标完成较好，在预算配置、预算执行、预算管理等方面较好的支持了我院工作发展。本部门根据相关法律法规和省院、区政法委关于人民检察工作的要求，制定了年度工作要点和专项资金管理制度，规范了机关大院物业管理，落实了设备采购管理责任，加强了执法质量监督和考评。</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asciiTheme="minorEastAsia" w:hAnsiTheme="minorEastAsia" w:eastAsiaTheme="minorEastAsia"/>
          <w:color w:val="000000" w:themeColor="text1"/>
          <w:sz w:val="32"/>
          <w:szCs w:val="32"/>
          <w14:textFill>
            <w14:solidFill>
              <w14:schemeClr w14:val="tx1"/>
            </w14:solidFill>
          </w14:textFill>
        </w:rPr>
      </w:pPr>
      <w:r>
        <w:rPr>
          <w:rFonts w:hint="eastAsia" w:asciiTheme="minorEastAsia" w:hAnsiTheme="minorEastAsia" w:eastAsiaTheme="minorEastAsia"/>
          <w:color w:val="000000" w:themeColor="text1"/>
          <w:sz w:val="32"/>
          <w:szCs w:val="32"/>
          <w:lang w:val="en-US" w:eastAsia="zh-CN"/>
          <w14:textFill>
            <w14:solidFill>
              <w14:schemeClr w14:val="tx1"/>
            </w14:solidFill>
          </w14:textFill>
        </w:rPr>
        <w:t>2021年，区检察院共办理各类案件3522件，同比上升61%；3个案件被最高人民检察院、省检察院评为典型案例、精品案例；获评“全国检察宣传先进单位”、“全国青少年维权岗”、“长沙市普法工作先进集体”、“长沙市文明标兵单位”；未成年检察工作、公益诉讼检察等工作被中央电视台、《法治日报》、《检察日报》等国家级媒体报道。区检察院涌现出“全省检察机关扫黑除恶专项斗争先进个人”、“湖南省十佳公诉人”、“湖南省公益诉讼办案能手”等52个市级以上先进集体和个人。</w:t>
      </w:r>
      <w:r>
        <w:rPr>
          <w:rFonts w:hint="eastAsia" w:asciiTheme="minorEastAsia" w:hAnsiTheme="minorEastAsia" w:eastAsiaTheme="minorEastAsia"/>
          <w:color w:val="000000" w:themeColor="text1"/>
          <w:sz w:val="32"/>
          <w:szCs w:val="32"/>
          <w14:textFill>
            <w14:solidFill>
              <w14:schemeClr w14:val="tx1"/>
            </w14:solidFill>
          </w14:textFill>
        </w:rPr>
        <w:t>预算绩效管理收到了良好的成效。</w:t>
      </w:r>
    </w:p>
    <w:p>
      <w:pPr>
        <w:pStyle w:val="11"/>
        <w:ind w:firstLine="640" w:firstLineChars="200"/>
        <w:rPr>
          <w:rFonts w:hint="eastAsia" w:cs="黑体" w:asciiTheme="minorEastAsia" w:hAnsiTheme="minorEastAsia" w:eastAsiaTheme="minorEastAsia"/>
          <w:color w:val="000000" w:themeColor="text1"/>
          <w:kern w:val="0"/>
          <w:sz w:val="32"/>
          <w:szCs w:val="32"/>
          <w:lang w:val="en-US" w:eastAsia="zh-CN" w:bidi="ar-SA"/>
          <w14:textFill>
            <w14:solidFill>
              <w14:schemeClr w14:val="tx1"/>
            </w14:solidFill>
          </w14:textFill>
        </w:rPr>
      </w:pPr>
    </w:p>
    <w:p>
      <w:pPr>
        <w:autoSpaceDE w:val="0"/>
        <w:autoSpaceDN w:val="0"/>
        <w:adjustRightInd w:val="0"/>
        <w:ind w:firstLine="640" w:firstLineChars="200"/>
        <w:jc w:val="left"/>
        <w:rPr>
          <w:rFonts w:cs="黑体" w:asciiTheme="minorEastAsia" w:hAnsiTheme="minorEastAsia"/>
          <w:color w:val="000000" w:themeColor="text1"/>
          <w:kern w:val="0"/>
          <w:sz w:val="32"/>
          <w:szCs w:val="32"/>
          <w14:textFill>
            <w14:solidFill>
              <w14:schemeClr w14:val="tx1"/>
            </w14:solidFill>
          </w14:textFill>
        </w:rPr>
      </w:pPr>
    </w:p>
    <w:p>
      <w:pPr>
        <w:autoSpaceDE w:val="0"/>
        <w:autoSpaceDN w:val="0"/>
        <w:adjustRightInd w:val="0"/>
        <w:ind w:firstLine="640" w:firstLineChars="200"/>
        <w:jc w:val="left"/>
        <w:rPr>
          <w:rFonts w:cs="黑体" w:asciiTheme="minorEastAsia" w:hAnsiTheme="minorEastAsia"/>
          <w:color w:val="000000" w:themeColor="text1"/>
          <w:kern w:val="0"/>
          <w:sz w:val="32"/>
          <w:szCs w:val="3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both"/>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r>
        <w:rPr>
          <w:rFonts w:hint="eastAsia"/>
          <w:color w:val="000000" w:themeColor="text1"/>
          <w:sz w:val="72"/>
          <w:szCs w:val="72"/>
          <w14:textFill>
            <w14:solidFill>
              <w14:schemeClr w14:val="tx1"/>
            </w14:solidFill>
          </w14:textFill>
        </w:rPr>
        <w:t>第四部分</w:t>
      </w:r>
    </w:p>
    <w:p>
      <w:pPr>
        <w:jc w:val="center"/>
        <w:rPr>
          <w:rFonts w:ascii="黑体" w:eastAsia="黑体" w:cs="黑体"/>
          <w:color w:val="000000" w:themeColor="text1"/>
          <w:kern w:val="0"/>
          <w:sz w:val="70"/>
          <w:szCs w:val="70"/>
          <w14:textFill>
            <w14:solidFill>
              <w14:schemeClr w14:val="tx1"/>
            </w14:solidFill>
          </w14:textFill>
        </w:rPr>
      </w:pPr>
    </w:p>
    <w:p>
      <w:pPr>
        <w:jc w:val="center"/>
        <w:rPr>
          <w:rFonts w:hint="eastAsia" w:ascii="黑体" w:eastAsia="黑体" w:cs="黑体"/>
          <w:color w:val="000000" w:themeColor="text1"/>
          <w:kern w:val="0"/>
          <w:sz w:val="70"/>
          <w:szCs w:val="70"/>
          <w14:textFill>
            <w14:solidFill>
              <w14:schemeClr w14:val="tx1"/>
            </w14:solidFill>
          </w14:textFill>
        </w:rPr>
      </w:pPr>
      <w:r>
        <w:rPr>
          <w:rFonts w:hint="eastAsia" w:ascii="黑体" w:eastAsia="黑体" w:cs="黑体"/>
          <w:color w:val="000000" w:themeColor="text1"/>
          <w:kern w:val="0"/>
          <w:sz w:val="70"/>
          <w:szCs w:val="70"/>
          <w14:textFill>
            <w14:solidFill>
              <w14:schemeClr w14:val="tx1"/>
            </w14:solidFill>
          </w14:textFill>
        </w:rPr>
        <w:t>名词解释</w:t>
      </w:r>
    </w:p>
    <w:p>
      <w:pPr>
        <w:jc w:val="center"/>
        <w:rPr>
          <w:rFonts w:hint="eastAsia" w:ascii="黑体" w:eastAsia="黑体" w:cs="黑体"/>
          <w:color w:val="000000" w:themeColor="text1"/>
          <w:kern w:val="0"/>
          <w:sz w:val="70"/>
          <w:szCs w:val="70"/>
          <w14:textFill>
            <w14:solidFill>
              <w14:schemeClr w14:val="tx1"/>
            </w14:solidFill>
          </w14:textFill>
        </w:rPr>
      </w:pPr>
    </w:p>
    <w:p>
      <w:pPr>
        <w:jc w:val="center"/>
        <w:rPr>
          <w:rFonts w:hint="eastAsia" w:ascii="黑体" w:eastAsia="黑体" w:cs="黑体"/>
          <w:color w:val="000000" w:themeColor="text1"/>
          <w:kern w:val="0"/>
          <w:sz w:val="70"/>
          <w:szCs w:val="70"/>
          <w14:textFill>
            <w14:solidFill>
              <w14:schemeClr w14:val="tx1"/>
            </w14:solidFill>
          </w14:textFill>
        </w:rPr>
      </w:pPr>
    </w:p>
    <w:p>
      <w:pPr>
        <w:jc w:val="center"/>
        <w:rPr>
          <w:rFonts w:hint="eastAsia" w:ascii="黑体" w:eastAsia="黑体" w:cs="黑体"/>
          <w:color w:val="000000" w:themeColor="text1"/>
          <w:kern w:val="0"/>
          <w:sz w:val="70"/>
          <w:szCs w:val="70"/>
          <w14:textFill>
            <w14:solidFill>
              <w14:schemeClr w14:val="tx1"/>
            </w14:solidFill>
          </w14:textFill>
        </w:rPr>
      </w:pPr>
    </w:p>
    <w:p>
      <w:pPr>
        <w:jc w:val="center"/>
        <w:rPr>
          <w:rFonts w:hint="eastAsia" w:ascii="黑体" w:eastAsia="黑体" w:cs="黑体"/>
          <w:color w:val="000000" w:themeColor="text1"/>
          <w:kern w:val="0"/>
          <w:sz w:val="70"/>
          <w:szCs w:val="70"/>
          <w14:textFill>
            <w14:solidFill>
              <w14:schemeClr w14:val="tx1"/>
            </w14:solidFill>
          </w14:textFill>
        </w:rPr>
      </w:pPr>
    </w:p>
    <w:p>
      <w:pPr>
        <w:jc w:val="center"/>
        <w:rPr>
          <w:rFonts w:hint="eastAsia" w:ascii="黑体" w:eastAsia="黑体" w:cs="黑体"/>
          <w:color w:val="000000" w:themeColor="text1"/>
          <w:kern w:val="0"/>
          <w:sz w:val="70"/>
          <w:szCs w:val="70"/>
          <w14:textFill>
            <w14:solidFill>
              <w14:schemeClr w14:val="tx1"/>
            </w14:solidFill>
          </w14:textFill>
        </w:rPr>
      </w:pPr>
    </w:p>
    <w:p>
      <w:pPr>
        <w:jc w:val="center"/>
        <w:rPr>
          <w:rFonts w:hint="eastAsia" w:ascii="黑体" w:eastAsia="黑体" w:cs="黑体"/>
          <w:color w:val="000000" w:themeColor="text1"/>
          <w:kern w:val="0"/>
          <w:sz w:val="70"/>
          <w:szCs w:val="70"/>
          <w14:textFill>
            <w14:solidFill>
              <w14:schemeClr w14:val="tx1"/>
            </w14:solidFill>
          </w14:textFill>
        </w:rPr>
      </w:pPr>
    </w:p>
    <w:p>
      <w:pPr>
        <w:jc w:val="center"/>
        <w:rPr>
          <w:rFonts w:hint="eastAsia" w:ascii="黑体" w:eastAsia="黑体" w:cs="黑体"/>
          <w:color w:val="000000" w:themeColor="text1"/>
          <w:kern w:val="0"/>
          <w:sz w:val="70"/>
          <w:szCs w:val="70"/>
          <w14:textFill>
            <w14:solidFill>
              <w14:schemeClr w14:val="tx1"/>
            </w14:solidFill>
          </w14:textFill>
        </w:rPr>
      </w:pPr>
    </w:p>
    <w:p>
      <w:pPr>
        <w:widowControl/>
        <w:jc w:val="left"/>
        <w:rPr>
          <w:rFonts w:cs="黑体" w:asciiTheme="minorEastAsia" w:hAnsiTheme="minorEastAsia"/>
          <w:color w:val="000000" w:themeColor="text1"/>
          <w:kern w:val="0"/>
          <w:sz w:val="32"/>
          <w:szCs w:val="32"/>
          <w14:textFill>
            <w14:solidFill>
              <w14:schemeClr w14:val="tx1"/>
            </w14:solidFill>
          </w14:textFill>
        </w:rPr>
      </w:pPr>
    </w:p>
    <w:p>
      <w:pPr>
        <w:ind w:firstLine="640" w:firstLineChars="200"/>
        <w:jc w:val="left"/>
        <w:rPr>
          <w:rFonts w:hint="eastAsia"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一、财政拨款收入：指省本级财政当年拨付的资金。</w:t>
      </w:r>
    </w:p>
    <w:p>
      <w:pPr>
        <w:ind w:firstLine="640" w:firstLineChars="200"/>
        <w:jc w:val="left"/>
        <w:rPr>
          <w:rFonts w:hint="eastAsia"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二、其他收入：指除财政拨款收入、事业收入等以外的收入。主要是指非本级财政拨款收入、补助收入、存款利息收入等。</w:t>
      </w:r>
    </w:p>
    <w:p>
      <w:pPr>
        <w:ind w:firstLine="640" w:firstLineChars="200"/>
        <w:jc w:val="left"/>
        <w:rPr>
          <w:rFonts w:hint="eastAsia"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三、上年结转和结余：指以前年度尚未完成、结转到本年仍按原规定用途继续使用的资金，或项目已完成产生的结余资金。</w:t>
      </w:r>
    </w:p>
    <w:p>
      <w:pPr>
        <w:ind w:firstLine="640" w:firstLineChars="200"/>
        <w:jc w:val="left"/>
        <w:rPr>
          <w:rFonts w:hint="eastAsia"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四、年末结转和结余：指单位按有关规定结转到下年或以后年度继续使用的资金，或项目已完成产生的结余资金。</w:t>
      </w:r>
    </w:p>
    <w:p>
      <w:pPr>
        <w:ind w:firstLine="640" w:firstLineChars="200"/>
        <w:jc w:val="left"/>
        <w:rPr>
          <w:rFonts w:hint="eastAsia"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五、公共安全支出（类）检察（款）：指检察机关用于保障机构正常运行、开展检察业务工作的支出。</w:t>
      </w:r>
    </w:p>
    <w:p>
      <w:pPr>
        <w:ind w:firstLine="640" w:firstLineChars="200"/>
        <w:jc w:val="left"/>
        <w:rPr>
          <w:rFonts w:hint="eastAsia"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六、教育支出（类）进修及培训（款）培训支出（项）：指单位用于干警教育培训的支出。</w:t>
      </w:r>
    </w:p>
    <w:p>
      <w:pPr>
        <w:ind w:firstLine="640" w:firstLineChars="200"/>
        <w:jc w:val="left"/>
        <w:rPr>
          <w:rFonts w:hint="eastAsia"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七、社会保障和就业支出（类）行政事业单位离退休（款）未归口管理的行政单位离退休（项）：指单位用于未归口社保的离退休人员的工资性支出。</w:t>
      </w:r>
    </w:p>
    <w:p>
      <w:pPr>
        <w:ind w:firstLine="640" w:firstLineChars="200"/>
        <w:jc w:val="left"/>
        <w:rPr>
          <w:rFonts w:hint="eastAsia"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八、住房保障支出（类）住房改革支出（款）：指单位按照国家政策规定用于住房改革方面的支出。</w:t>
      </w:r>
    </w:p>
    <w:p>
      <w:pPr>
        <w:ind w:firstLine="640" w:firstLineChars="200"/>
        <w:jc w:val="left"/>
        <w:rPr>
          <w:rFonts w:hint="eastAsia"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（一）住房公积金（项）：指按照国家统一规定，按规定比例为职工缴纳的住房公积金。</w:t>
      </w:r>
    </w:p>
    <w:p>
      <w:pPr>
        <w:ind w:firstLine="640" w:firstLineChars="200"/>
        <w:jc w:val="left"/>
        <w:rPr>
          <w:rFonts w:hint="eastAsia"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（二）购房补贴（项）：指1998年住房分配货币化改革以后，按照国家房改政策规定，向无房职工、住房面积未达到规定标准的职工发放的住房补贴。</w:t>
      </w:r>
    </w:p>
    <w:p>
      <w:pPr>
        <w:ind w:firstLine="640" w:firstLineChars="200"/>
        <w:jc w:val="left"/>
        <w:rPr>
          <w:rFonts w:hint="eastAsia"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九、基本支出：指为保障机构正常运转、完成日常工作任务而发生的人员支出和公用支出。</w:t>
      </w:r>
    </w:p>
    <w:p>
      <w:pPr>
        <w:ind w:firstLine="640" w:firstLineChars="200"/>
        <w:jc w:val="left"/>
        <w:rPr>
          <w:rFonts w:hint="eastAsia"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十、项目支出：指在基本支出以外为完成特定任务和事业发展目标所发生的支出。</w:t>
      </w:r>
    </w:p>
    <w:p>
      <w:pPr>
        <w:ind w:firstLine="640" w:firstLineChars="200"/>
        <w:jc w:val="left"/>
        <w:rPr>
          <w:rFonts w:hint="eastAsia"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十一、“ 三公” 经费财政拨款支出：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种公务接待（含外宾接待）支出。</w:t>
      </w:r>
    </w:p>
    <w:p>
      <w:pPr>
        <w:ind w:firstLine="640" w:firstLineChars="200"/>
        <w:jc w:val="left"/>
        <w:rPr>
          <w:rFonts w:hint="eastAsia" w:cs="黑体" w:asciiTheme="minorEastAsia" w:hAnsiTheme="minorEastAsia"/>
          <w:color w:val="000000" w:themeColor="text1"/>
          <w:kern w:val="0"/>
          <w:sz w:val="32"/>
          <w:szCs w:val="32"/>
          <w14:textFill>
            <w14:solidFill>
              <w14:schemeClr w14:val="tx1"/>
            </w14:solidFill>
          </w14:textFill>
        </w:rPr>
      </w:pPr>
      <w:r>
        <w:rPr>
          <w:rFonts w:hint="eastAsia" w:cs="黑体" w:asciiTheme="minorEastAsia" w:hAnsiTheme="minorEastAsia"/>
          <w:color w:val="000000" w:themeColor="text1"/>
          <w:kern w:val="0"/>
          <w:sz w:val="32"/>
          <w:szCs w:val="32"/>
          <w14:textFill>
            <w14:solidFill>
              <w14:schemeClr w14:val="tx1"/>
            </w14:solidFill>
          </w14:textFill>
        </w:rPr>
        <w:t>十二、机关运行经费：为保障单位运行用于购买货物和服务的各项资金，包括办公及印刷费、邮电费、差旅费、会议费、福利费、日常维修费、专用材料及一般设备购置费、办公用房水电费、办公用房取暖费、办公用房物业管理费、公务用车运行维护费用及其他费用。</w:t>
      </w:r>
    </w:p>
    <w:p>
      <w:pPr>
        <w:ind w:firstLine="640" w:firstLineChars="200"/>
        <w:jc w:val="left"/>
        <w:rPr>
          <w:rFonts w:cs="黑体" w:asciiTheme="minorEastAsia" w:hAnsiTheme="minorEastAsia"/>
          <w:color w:val="000000" w:themeColor="text1"/>
          <w:kern w:val="0"/>
          <w:sz w:val="32"/>
          <w:szCs w:val="32"/>
          <w14:textFill>
            <w14:solidFill>
              <w14:schemeClr w14:val="tx1"/>
            </w14:solidFill>
          </w14:textFill>
        </w:rPr>
      </w:pPr>
    </w:p>
    <w:p>
      <w:pPr>
        <w:pStyle w:val="11"/>
        <w:jc w:val="center"/>
        <w:rPr>
          <w:rFonts w:asciiTheme="minorEastAsia" w:hAnsiTheme="minorEastAsia"/>
          <w:color w:val="000000" w:themeColor="text1"/>
          <w:sz w:val="32"/>
          <w:szCs w:val="32"/>
          <w14:textFill>
            <w14:solidFill>
              <w14:schemeClr w14:val="tx1"/>
            </w14:solidFill>
          </w14:textFill>
        </w:rPr>
      </w:pPr>
    </w:p>
    <w:p>
      <w:pPr>
        <w:pStyle w:val="11"/>
        <w:jc w:val="both"/>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both"/>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p>
    <w:p>
      <w:pPr>
        <w:pStyle w:val="11"/>
        <w:jc w:val="center"/>
        <w:rPr>
          <w:color w:val="000000" w:themeColor="text1"/>
          <w:sz w:val="72"/>
          <w:szCs w:val="72"/>
          <w14:textFill>
            <w14:solidFill>
              <w14:schemeClr w14:val="tx1"/>
            </w14:solidFill>
          </w14:textFill>
        </w:rPr>
      </w:pPr>
      <w:r>
        <w:rPr>
          <w:rFonts w:hint="eastAsia"/>
          <w:color w:val="000000" w:themeColor="text1"/>
          <w:sz w:val="72"/>
          <w:szCs w:val="72"/>
          <w14:textFill>
            <w14:solidFill>
              <w14:schemeClr w14:val="tx1"/>
            </w14:solidFill>
          </w14:textFill>
        </w:rPr>
        <w:t>第五部分</w:t>
      </w:r>
    </w:p>
    <w:p>
      <w:pPr>
        <w:jc w:val="center"/>
        <w:rPr>
          <w:rFonts w:ascii="黑体" w:eastAsia="黑体" w:cs="黑体"/>
          <w:color w:val="000000" w:themeColor="text1"/>
          <w:kern w:val="0"/>
          <w:sz w:val="70"/>
          <w:szCs w:val="70"/>
          <w14:textFill>
            <w14:solidFill>
              <w14:schemeClr w14:val="tx1"/>
            </w14:solidFill>
          </w14:textFill>
        </w:rPr>
      </w:pPr>
    </w:p>
    <w:p>
      <w:pPr>
        <w:jc w:val="center"/>
        <w:rPr>
          <w:rFonts w:ascii="黑体" w:eastAsia="黑体" w:cs="黑体"/>
          <w:color w:val="000000" w:themeColor="text1"/>
          <w:kern w:val="0"/>
          <w:sz w:val="70"/>
          <w:szCs w:val="70"/>
          <w14:textFill>
            <w14:solidFill>
              <w14:schemeClr w14:val="tx1"/>
            </w14:solidFill>
          </w14:textFill>
        </w:rPr>
      </w:pPr>
      <w:r>
        <w:rPr>
          <w:rFonts w:hint="eastAsia" w:ascii="黑体" w:eastAsia="黑体" w:cs="黑体"/>
          <w:color w:val="000000" w:themeColor="text1"/>
          <w:kern w:val="0"/>
          <w:sz w:val="70"/>
          <w:szCs w:val="70"/>
          <w14:textFill>
            <w14:solidFill>
              <w14:schemeClr w14:val="tx1"/>
            </w14:solidFill>
          </w14:textFill>
        </w:rPr>
        <w:t>附件</w:t>
      </w:r>
    </w:p>
    <w:p>
      <w:pPr>
        <w:widowControl/>
        <w:jc w:val="left"/>
        <w:rPr>
          <w:rFonts w:ascii="黑体" w:eastAsia="黑体" w:cs="黑体"/>
          <w:color w:val="000000" w:themeColor="text1"/>
          <w:kern w:val="0"/>
          <w:sz w:val="70"/>
          <w:szCs w:val="70"/>
          <w14:textFill>
            <w14:solidFill>
              <w14:schemeClr w14:val="tx1"/>
            </w14:solidFill>
          </w14:textFill>
        </w:rPr>
      </w:pPr>
      <w:r>
        <w:rPr>
          <w:rFonts w:ascii="黑体" w:eastAsia="黑体" w:cs="黑体"/>
          <w:color w:val="000000" w:themeColor="text1"/>
          <w:kern w:val="0"/>
          <w:sz w:val="70"/>
          <w:szCs w:val="70"/>
          <w14:textFill>
            <w14:solidFill>
              <w14:schemeClr w14:val="tx1"/>
            </w14:solidFill>
          </w14:textFill>
        </w:rPr>
        <w:br w:type="page"/>
      </w:r>
    </w:p>
    <w:p>
      <w:pPr>
        <w:jc w:val="center"/>
        <w:rPr>
          <w:rFonts w:ascii="黑体" w:eastAsia="黑体" w:cs="黑体"/>
          <w:color w:val="000000" w:themeColor="text1"/>
          <w:kern w:val="0"/>
          <w:sz w:val="70"/>
          <w:szCs w:val="70"/>
          <w14:textFill>
            <w14:solidFill>
              <w14:schemeClr w14:val="tx1"/>
            </w14:solidFill>
          </w14:textFill>
        </w:rPr>
      </w:pPr>
    </w:p>
    <w:p>
      <w:pPr>
        <w:ind w:firstLine="640" w:firstLineChars="200"/>
        <w:jc w:val="center"/>
        <w:rPr>
          <w:rFonts w:cs="黑体" w:asciiTheme="minorEastAsia" w:hAnsiTheme="minorEastAsia"/>
          <w:b/>
          <w:color w:val="000000" w:themeColor="text1"/>
          <w:kern w:val="0"/>
          <w:sz w:val="32"/>
          <w:szCs w:val="32"/>
          <w14:textFill>
            <w14:solidFill>
              <w14:schemeClr w14:val="tx1"/>
            </w14:solidFill>
          </w14:textFill>
        </w:rPr>
      </w:pPr>
      <w:r>
        <w:rPr>
          <w:rFonts w:hint="eastAsia" w:cs="黑体" w:asciiTheme="minorEastAsia" w:hAnsiTheme="minorEastAsia"/>
          <w:b/>
          <w:color w:val="000000" w:themeColor="text1"/>
          <w:kern w:val="0"/>
          <w:sz w:val="32"/>
          <w:szCs w:val="32"/>
          <w14:textFill>
            <w14:solidFill>
              <w14:schemeClr w14:val="tx1"/>
            </w14:solidFill>
          </w14:textFill>
        </w:rPr>
        <w:t>2021年度部门整体支出绩效评价报告</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https://www.hn.jcy.gov.cn/xwfb/czxx/qtczxxgk/202206/1537346769879302144.html</w:t>
      </w:r>
      <w:r>
        <w:rPr>
          <w:rFonts w:hint="eastAsia"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themeColor="text1"/>
          <w:kern w:val="0"/>
          <w:sz w:val="32"/>
          <w:szCs w:val="32"/>
          <w14:textFill>
            <w14:solidFill>
              <w14:schemeClr w14:val="tx1"/>
            </w14:solidFill>
          </w14:textFill>
        </w:rPr>
      </w:pP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ZGU1MWZlMjgwY2RkYTdlZmE2ODhhMzRlYjYxOD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F93765"/>
    <w:rsid w:val="0BD129B2"/>
    <w:rsid w:val="1C3B328D"/>
    <w:rsid w:val="20F51111"/>
    <w:rsid w:val="22623115"/>
    <w:rsid w:val="25521F64"/>
    <w:rsid w:val="294E4231"/>
    <w:rsid w:val="2F2B399A"/>
    <w:rsid w:val="337A444E"/>
    <w:rsid w:val="353FCA6E"/>
    <w:rsid w:val="3C266F4E"/>
    <w:rsid w:val="3DBFFA01"/>
    <w:rsid w:val="3EF02A8D"/>
    <w:rsid w:val="3EFADB66"/>
    <w:rsid w:val="3FE0C6E1"/>
    <w:rsid w:val="41FC05D2"/>
    <w:rsid w:val="445F5499"/>
    <w:rsid w:val="45A756E4"/>
    <w:rsid w:val="498D6832"/>
    <w:rsid w:val="57FF0638"/>
    <w:rsid w:val="59166FCC"/>
    <w:rsid w:val="5FF2FCBD"/>
    <w:rsid w:val="5FFFFE2C"/>
    <w:rsid w:val="6B7F5C1F"/>
    <w:rsid w:val="6EA53DA2"/>
    <w:rsid w:val="6FA9254C"/>
    <w:rsid w:val="70FA0218"/>
    <w:rsid w:val="758E3E87"/>
    <w:rsid w:val="761645FB"/>
    <w:rsid w:val="77DB4342"/>
    <w:rsid w:val="7BBC0CF2"/>
    <w:rsid w:val="7BD9C072"/>
    <w:rsid w:val="7E7DA422"/>
    <w:rsid w:val="7EB5DBFA"/>
    <w:rsid w:val="97EB8EED"/>
    <w:rsid w:val="9E3FDCF0"/>
    <w:rsid w:val="9FB46818"/>
    <w:rsid w:val="BF7532E4"/>
    <w:rsid w:val="BFF7CA31"/>
    <w:rsid w:val="C8FFD982"/>
    <w:rsid w:val="DB77269C"/>
    <w:rsid w:val="DEBFEFEB"/>
    <w:rsid w:val="EDEF6EC1"/>
    <w:rsid w:val="EEFF9327"/>
    <w:rsid w:val="F6E38B15"/>
    <w:rsid w:val="FEE74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character" w:styleId="8">
    <w:name w:val="Strong"/>
    <w:basedOn w:val="7"/>
    <w:qFormat/>
    <w:uiPriority w:val="99"/>
    <w:rPr>
      <w:rFonts w:cs="Times New Roman"/>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34</Pages>
  <Words>8755</Words>
  <Characters>12477</Characters>
  <Lines>69</Lines>
  <Paragraphs>19</Paragraphs>
  <TotalTime>11</TotalTime>
  <ScaleCrop>false</ScaleCrop>
  <LinksUpToDate>false</LinksUpToDate>
  <CharactersWithSpaces>12728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2020-07-05T02:32:00Z</dcterms:created>
  <dc:creator>李航 null</dc:creator>
  <cp:lastModifiedBy>等等夫人</cp:lastModifiedBy>
  <cp:lastPrinted>2022-07-30T12:55:00Z</cp:lastPrinted>
  <dcterms:modified xsi:type="dcterms:W3CDTF">2022-11-04T02:57:24Z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5F2BBFBDE6714990B3758E1014CF1508</vt:lpwstr>
  </property>
</Properties>
</file>